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p14">
  <w:body>
    <w:p>
      <w:pPr>
        <w:spacing w:after="600"/>
      </w:pPr>
    </w:p>
    <w:p>
      <w:pPr>
        <w:spacing w:after="80"/>
        <w:jc w:val="center"/>
      </w:pPr>
      <w:r>
        <w:rPr>
          <w:rFonts w:ascii="Helvetica" w:cs="Helvetica" w:eastAsia="Helvetica" w:hAnsi="Helvetica"/>
          <w:b/>
          <w:bCs/>
          <w:color w:val="265EA2"/>
          <w:sz w:val="44"/>
          <w:szCs w:val="44"/>
        </w:rPr>
        <w:t xml:space="preserve">BUSINESS PLAN CONSOLIDÉ</w:t>
      </w:r>
    </w:p>
    <w:p>
      <w:pPr>
        <w:spacing w:after="80"/>
        <w:jc w:val="center"/>
      </w:pPr>
      <w:r>
        <w:rPr>
          <w:rFonts w:ascii="Helvetica" w:cs="Helvetica" w:eastAsia="Helvetica" w:hAnsi="Helvetica"/>
          <w:color w:val="265EA2"/>
          <w:sz w:val="30"/>
          <w:szCs w:val="30"/>
        </w:rPr>
        <w:t xml:space="preserve">LAVANDIERS — GROUPE SBD</w:t>
      </w:r>
    </w:p>
    <w:p>
      <w:pPr>
        <w:spacing w:after="120"/>
        <w:jc w:val="center"/>
      </w:pPr>
      <w:r>
        <w:rPr>
          <w:rFonts w:ascii="Helvetica" w:cs="Helvetica" w:eastAsia="Helvetica" w:hAnsi="Helvetica"/>
          <w:color w:val="666666"/>
          <w:sz w:val="24"/>
          <w:szCs w:val="24"/>
        </w:rPr>
        <w:t xml:space="preserve">Services intégrés pour laveries automatiques</w:t>
      </w:r>
    </w:p>
    <w:p>
      <w:pPr>
        <w:spacing w:after="120"/>
        <w:jc w:val="center"/>
      </w:pPr>
      <w:r>
        <w:rPr>
          <w:rFonts w:ascii="Helvetica" w:cs="Helvetica" w:eastAsia="Helvetica" w:hAnsi="Helvetica"/>
          <w:color w:val="888888"/>
          <w:sz w:val="22"/>
          <w:szCs w:val="22"/>
        </w:rPr>
        <w:t xml:space="preserve">Lessive Ariel Professional + Adoucisseurs Pentair Fleck</w:t>
      </w:r>
    </w:p>
    <w:p>
      <w:pPr>
        <w:pBdr>
          <w:bottom w:val="single" w:color="265EA2" w:sz="6" w:space="12"/>
        </w:pBdr>
        <w:spacing w:after="400"/>
        <w:jc w:val="center"/>
      </w:pPr>
      <w:r>
        <w:rPr>
          <w:rFonts w:ascii="Helvetica" w:cs="Helvetica" w:eastAsia="Helvetica" w:hAnsi="Helvetica"/>
          <w:color w:val="666666"/>
          <w:sz w:val="22"/>
          <w:szCs w:val="22"/>
        </w:rPr>
        <w:t xml:space="preserve">Prévisions 4 ans — Mars 2026</w:t>
      </w:r>
    </w:p>
    <w:p>
      <w:pPr>
        <w:spacing w:after="80"/>
        <w:jc w:val="center"/>
      </w:pPr>
      <w:r>
        <w:rPr>
          <w:rFonts w:ascii="Helvetica" w:cs="Helvetica" w:eastAsia="Helvetica" w:hAnsi="Helvetica"/>
          <w:color w:val="888888"/>
          <w:sz w:val="20"/>
          <w:szCs w:val="20"/>
        </w:rPr>
        <w:t xml:space="preserve">60 avenue de la Motte-Picquet, 75015 Paris</w:t>
      </w:r>
    </w:p>
    <w:p>
      <w:pPr>
        <w:jc w:val="center"/>
      </w:pPr>
      <w:r>
        <w:rPr>
          <w:rFonts w:ascii="Helvetica" w:cs="Helvetica" w:eastAsia="Helvetica" w:hAnsi="Helvetica"/>
          <w:i/>
          <w:iCs/>
          <w:color w:val="AAAAAA"/>
          <w:sz w:val="18"/>
          <w:szCs w:val="18"/>
        </w:rPr>
        <w:t xml:space="preserve">Document confidentiel</w:t>
      </w:r>
    </w:p>
    <w:p>
      <w:r>
        <w:br w:type="page"/>
      </w:r>
    </w:p>
    <w:p>
      <w:pPr>
        <w:pStyle w:val="Heading1"/>
      </w:pPr>
      <w:r>
        <w:t xml:space="preserve">1. Résumé exécutif</w:t>
      </w:r>
    </w:p>
    <w:p>
      <w:pPr>
        <w:spacing w:after="120"/>
      </w:pPr>
      <w:r>
        <w:t xml:space="preserve">Lavandiers est la branche B2B du Groupe SBD, société familiale avec 60 ans d'expérience et 50+ laveries en exploitation directe en Île-de-France. Nous développons une offre intégrée de services pour les exploitants indépendants de laveries automatiques, articulée autour de deux axes 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Distribution de lessive Ariel Professional</w:t>
      </w:r>
      <w:r>
        <w:t xml:space="preserve"> — achat vrac IBC 1000L, reconditionnement bidons 20L, dosage automatique via pompes Injecta NK.TL 250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b/>
          <w:bCs/>
        </w:rPr>
        <w:t xml:space="preserve">Traitement de l'eau — adoucisseurs Pentair Fleck</w:t>
      </w:r>
      <w:r>
        <w:t xml:space="preserve"> — installation, maintenance, livraison sel. Économies documentées : −50% détergents, −40% sel, +8-15% efficacité énergétique</w:t>
      </w:r>
    </w:p>
    <w:p>
      <w:pPr>
        <w:spacing w:after="200"/>
      </w:pPr>
      <w:r>
        <w:rPr>
          <w:b/>
          <w:bCs/>
        </w:rPr>
        <w:t xml:space="preserve">Objectif : </w:t>
      </w:r>
      <w:r>
        <w:t xml:space="preserve">50 laveries clientes en année 1 (Paris intra-muros) → 270 en année 4 (IDF complet). CA consolidé prévisionnel : 274 K€ (Y1) → 2,1 M€ (Y4).</w:t>
      </w:r>
    </w:p>
    <w:p>
      <w:pPr>
        <w:pStyle w:val="Heading1"/>
      </w:pPr>
      <w:r>
        <w:t xml:space="preserve">2. Hypothèses clés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Paramètre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Hypothèse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Prix achat Ariel vrac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2,00 €/L (IBC 1000L) + reconditionnement 0,50 €/L = 2,50 €/L coût total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Prix vente lessive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5,00 €/L (bidon 20L livré) — soit marge brute 2,50 €/L (50%)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Consommation / laverie / an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1 095 L (30 cycles/jour × 100 ml × 365 jours)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lessive / laverie / an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5 475 € (1 095 L × 5,00 €)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Coût pompe Injecta (volume)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131 € HT/unité (prix négocié) — normal : 249 € HT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Adoucisseur Pentair Fleck moyen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800 à 1 500 € HT selon profil laverie (prix distributeur indicatif)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Économies adoucisseur / site / an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5 660 € (lessive −50%, élec −15%, SAV −50%, sel −40%)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Marge service Pentair (estimation)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30-40% sur installation + contrat maintenance annuel (sel + SAV)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Compte de résultat prévisionnel — 4 ans</w:t>
      </w:r>
    </w:p>
    <w:p>
      <w:pPr>
        <w:pStyle w:val="Heading2"/>
      </w:pPr>
      <w:r>
        <w:t xml:space="preserve">3.1 Activité Lessive (Ariel Professional)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56"/>
        <w:gridCol w:w="1456"/>
        <w:gridCol w:w="1456"/>
        <w:gridCol w:w="145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Poste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1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2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3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4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Laveries clientes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50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200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240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270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Volume lessive (L)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54 750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219 000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262 800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295 650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Lessive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274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1 095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1 314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1 478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Coût marchandises (2,50€/L)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−137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−548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−657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−739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Pompes (131€ × nouveaux sites)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−7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−20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−4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MARGE BRUTE LESSIVE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130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527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652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735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Taux de marge brute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47%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48%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50%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50%</w:t>
            </w:r>
          </w:p>
        </w:tc>
      </w:tr>
    </w:tbl>
    <w:p>
      <w:pPr>
        <w:pStyle w:val="Heading2"/>
        <w:spacing w:before="300"/>
      </w:pPr>
      <w:r>
        <w:t xml:space="preserve">3.2 Activité Traitement de l'eau (Pentair)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56"/>
        <w:gridCol w:w="1456"/>
        <w:gridCol w:w="1456"/>
        <w:gridCol w:w="145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Poste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1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2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3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4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Installations Pentair (cumulées)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50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120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200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270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Installation (1 100€ moy.)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77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88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77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Contrat annuel sel + maint. (400€/site)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48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80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108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Total Pentair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125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168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185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Coût matériel Pentair (700€ moy.)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−35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−49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−56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−49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Coût sel + maintenance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−24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−40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−54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MARGE BRUTE PENTAIR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30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52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72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82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Taux de marge brute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40%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42%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43%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44%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3.3 P&amp;L Consolidé — Lavandiers Services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56"/>
        <w:gridCol w:w="1456"/>
        <w:gridCol w:w="1456"/>
        <w:gridCol w:w="145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Poste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1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2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3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Année 4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Lessive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274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1 095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1 314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1 478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Pentair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125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168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185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CA TOTAL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349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1 220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1 482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1 663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Marge brute Lessive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130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527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652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735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Marge brute Pentair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52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72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82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MARGE BRUTE TOTALE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160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579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724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817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Taux de marge brute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46%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47%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49%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49%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Véhicule utilitaire (location)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−6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−12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−18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−18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Carburant / péages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−4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−8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−12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−14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Assurance RC Pro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−3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−4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Communication / marketing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−2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−8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−10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Stockage / local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−3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−6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−10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−12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Salaire technicien (à partir Y2)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−30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−60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−90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Divers (comptable, juridique, etc.)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−5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−8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−10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−12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TOTAL CHARGES FIXES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−23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−73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−123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−161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RÉSULTAT D'EXPLOITATION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137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506 K€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601 K€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656 K€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Taux de résultat / CA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39%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41%</w:t>
            </w:r>
          </w:p>
        </w:tc>
        <w:tc>
          <w:tcPr>
            <w:tcW w:type="dxa" w:w="14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41%</w:t>
            </w:r>
          </w:p>
        </w:tc>
        <w:tc>
          <w:tcPr>
            <w:tcW w:type="dxa" w:w="145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/>
                <w:iCs/>
                <w:sz w:val="18"/>
                <w:szCs w:val="18"/>
              </w:rPr>
              <w:t xml:space="preserve">39%</w:t>
            </w:r>
          </w:p>
        </w:tc>
      </w:tr>
    </w:tbl>
    <w:p>
      <w:pPr>
        <w:pStyle w:val="Heading1"/>
        <w:spacing w:before="300"/>
      </w:pPr>
      <w:r>
        <w:t xml:space="preserve">4. Investissement initial — Phase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263"/>
        <w:gridCol w:w="2263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Poste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Montant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Remarque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50 pompes Injecta NK.TL 250 (131€/u)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6 550 €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ROI &lt;15 jours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50 adoucisseurs Pentair Fleck (800-1 500€/u)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40 000 – 75 000 €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Facturé aux exploitants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Stock initial lessive (IBC 1000L × 5)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10 000 €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2,00 €/L × 5 000 L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Véhicule utilitaire (1er loyer + dépôt)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3 000 €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Location longue durée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Communication / supports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2 000 €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Fiches, stickers, cartes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TOTAL INVESTISSEMENT PHASE 1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~22 000 – 27 000 €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sz w:val="18"/>
                <w:szCs w:val="18"/>
              </w:rPr>
              <w:t xml:space="preserve">Hors adoucisseurs refacturés</w:t>
            </w:r>
          </w:p>
        </w:tc>
      </w:tr>
    </w:tbl>
    <w:p>
      <w:pPr>
        <w:spacing w:after="200" w:before="120"/>
      </w:pPr>
      <w:r>
        <w:rPr>
          <w:i/>
          <w:iCs/>
          <w:color w:val="888888"/>
          <w:sz w:val="18"/>
          <w:szCs w:val="18"/>
        </w:rPr>
        <w:t xml:space="preserve">Note : l'investissement est volontairement limité. L'adossement au Groupe SBD (trésorerie, locaux, véhicules existants) réduit considérablement le besoin de financement externe.</w:t>
      </w:r>
    </w:p>
    <w:p>
      <w:pPr>
        <w:pStyle w:val="Heading1"/>
      </w:pPr>
      <w:r>
        <w:t xml:space="preserve">5. Seuil de rentabilité</w:t>
      </w:r>
    </w:p>
    <w:p>
      <w:pPr>
        <w:spacing w:after="120"/>
      </w:pPr>
      <w:r>
        <w:t xml:space="preserve">Avec des charges fixes de 23 K€ en année 1 et une marge brute moyenne de 3 200 € par laverie (lessive + Pentair), le </w:t>
      </w:r>
      <w:r>
        <w:rPr>
          <w:b/>
          <w:bCs/>
        </w:rPr>
        <w:t xml:space="preserve">seuil de rentabilité est atteint dès le 8e client</w:t>
      </w:r>
      <w:r>
        <w:t xml:space="preserve"> (23 000 / 3 200 = 7,2 clients). La phase 1 cible 50 clients : le projet est rentable dès les premières semaines d'activité commerciale.</w:t>
      </w:r>
    </w:p>
    <w:p>
      <w:pPr>
        <w:spacing w:after="200"/>
      </w:pPr>
      <w:r>
        <w:rPr>
          <w:b/>
          <w:bCs/>
        </w:rPr>
        <w:t xml:space="preserve">Point mort mensuel : </w:t>
      </w:r>
      <w:r>
        <w:t xml:space="preserve">~1 900 €/mois de charges fixes → couvert par 4-5 clients actifs en lessive seule.</w:t>
      </w:r>
    </w:p>
    <w:p>
      <w:pPr>
        <w:pStyle w:val="Heading1"/>
        <w:pageBreakBefore/>
      </w:pPr>
      <w:r>
        <w:t xml:space="preserve">6. Équipe fondatrice</w:t>
      </w:r>
    </w:p>
    <w:p>
      <w:pPr>
        <w:spacing w:after="120"/>
      </w:pPr>
      <w:r>
        <w:t xml:space="preserve">Lavandiers est fondée et pilotée par Julien Nargeolet, appuyé par l’expertise du Groupe SBD et de la famille Blanchot.</w:t>
      </w:r>
    </w:p>
    <w:p>
      <w:pPr>
        <w:pStyle w:val="Heading2"/>
        <w:spacing w:before="240" w:after="80"/>
      </w:pPr>
      <w:r>
        <w:t xml:space="preserve">Julien Nargeolet — Fondateur, Stratégie &amp; Développement commercial</w:t>
      </w:r>
    </w:p>
    <w:p>
      <w:pPr>
        <w:spacing w:after="120"/>
      </w:pPr>
      <w:r>
        <w:t xml:space="preserve">Julien pilote la stratégie commerciale, les partenariats industriels et le déploiement client. Il est l’architecte des accords signés avec Ariel Professional (P&amp;G) et Pentair, qui constituent le socle différenciant de l’offre Lavandiers. Résident fiscal irlandais, il apporte également une maîtrise des structures juridiques et fiscales internationales utiles à la croissance de l’entreprise.</w:t>
      </w:r>
    </w:p>
    <w:p>
      <w:pPr>
        <w:spacing w:after="120"/>
      </w:pPr>
      <w:r>
        <w:rPr>
          <w:b/>
          <w:bCs/>
        </w:rPr>
        <w:t xml:space="preserve">Compétences clés : </w:t>
      </w:r>
      <w:r>
        <w:t xml:space="preserve">négociation grands comptes, structuration de partenariats B2B, développement commercial terrain, pilotage financier et stratégique.</w:t>
      </w:r>
    </w:p>
    <w:p>
      <w:pPr>
        <w:pStyle w:val="Heading1"/>
      </w:pPr>
      <w:r>
        <w:t xml:space="preserve">7. Sources des données</w:t>
      </w:r>
    </w:p>
    <w:p>
      <w:pPr>
        <w:pStyle w:val="ListParagraph"/>
        <w:numPr>
          <w:ilvl w:val="0"/>
          <w:numId w:val="2"/>
        </w:numPr>
      </w:pPr>
      <w:r>
        <w:t xml:space="preserve">CA et croissance secteur : Epsimas (janvier 2026), INSEE</w:t>
      </w:r>
    </w:p>
    <w:p>
      <w:pPr>
        <w:pStyle w:val="ListParagraph"/>
        <w:numPr>
          <w:ilvl w:val="0"/>
          <w:numId w:val="2"/>
        </w:numPr>
      </w:pPr>
      <w:r>
        <w:t xml:space="preserve">Prix Ariel vrac et dosage : dossier partenariat Ariel / P&amp;G (mars 2026)</w:t>
      </w:r>
    </w:p>
    <w:p>
      <w:pPr>
        <w:pStyle w:val="ListParagraph"/>
        <w:numPr>
          <w:ilvl w:val="0"/>
          <w:numId w:val="2"/>
        </w:numPr>
      </w:pPr>
      <w:r>
        <w:t xml:space="preserve">Économies adoucisseur et gammes Fleck : dossier partenariat Pentair (mars 2026), pentair.eu</w:t>
      </w:r>
    </w:p>
    <w:p>
      <w:pPr>
        <w:pStyle w:val="ListParagraph"/>
        <w:numPr>
          <w:ilvl w:val="0"/>
          <w:numId w:val="2"/>
        </w:numPr>
      </w:pPr>
      <w:r>
        <w:t xml:space="preserve">Données laveries IDF : base JSON interne (939 laveries IDF, 345 Paris vérifiées Google Maps)</w:t>
      </w:r>
    </w:p>
    <w:p>
      <w:pPr>
        <w:pStyle w:val="ListParagraph"/>
        <w:numPr>
          <w:ilvl w:val="0"/>
          <w:numId w:val="2"/>
        </w:numPr>
      </w:pPr>
      <w:r>
        <w:t xml:space="preserve">Prix pompes : Injecta NK.TL 250 (injecta.eu, ManualsLib, revendeurs)</w:t>
      </w:r>
    </w:p>
    <w:p>
      <w:pPr>
        <w:pStyle w:val="ListParagraph"/>
        <w:numPr>
          <w:ilvl w:val="0"/>
          <w:numId w:val="2"/>
        </w:numPr>
      </w:pPr>
      <w:r>
        <w:t xml:space="preserve">Données WASHiN : analyse concurrentielle interne (washin confidentiel v2.docx)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Charges fixes estimées sur base de comparables secteur laverie IDF</w:t>
      </w:r>
    </w:p>
    <w:p>
      <w:pPr>
        <w:pBdr>
          <w:top w:val="single" w:color="265EA2" w:sz="4" w:space="12"/>
        </w:pBdr>
        <w:spacing w:before="300"/>
      </w:pPr>
      <w:r>
        <w:rPr>
          <w:i/>
          <w:iCs/>
          <w:color w:val="999999"/>
          <w:sz w:val="18"/>
          <w:szCs w:val="18"/>
        </w:rPr>
        <w:t xml:space="preserve">Document confidentiel — Lavandiers / Groupe SBD — Mars 2026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  <w:headerReference w:type="default" r:id="rId1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Helvetica" w:cs="Helvetica" w:eastAsia="Helvetica" w:hAnsi="Helvetica"/>
        <w:color w:val="999999"/>
        <w:sz w:val="16"/>
        <w:szCs w:val="16"/>
      </w:rPr>
      <w:t xml:space="preserve">Page </w:t>
    </w:r>
    <w:r>
      <w:rPr>
        <w:rFonts w:ascii="Helvetica" w:cs="Helvetica" w:eastAsia="Helvetica" w:hAnsi="Helvetica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Helvetica" w:cs="Helvetica" w:eastAsia="Helvetica" w:hAnsi="Helvetica"/>
      <w:b/>
      <w:bCs/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Helvetica" w:cs="Helvetica" w:eastAsia="Helvetica" w:hAnsi="Helvetica"/>
      <w:b/>
      <w:bCs/>
      <w:color w:val="265E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endnotes" Target="endnotes.xml" /><Relationship Id="rId5" Type="http://schemas.openxmlformats.org/officeDocument/2006/relationships/settings" Target="settings.xml" /><Relationship Id="rId6" Type="http://schemas.openxmlformats.org/officeDocument/2006/relationships/comments" Target="comments.xml" /><Relationship Id="rId8" Type="http://schemas.openxmlformats.org/officeDocument/2006/relationships/footer" Target="footer1.xml" /><Relationship Id="rId9" Type="http://schemas.openxmlformats.org/officeDocument/2006/relationships/fontTable" Target="fontTable.xml" /><Relationship Id="rId10" Type="http://schemas.openxmlformats.org/officeDocument/2006/relationships/header" Target="header1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2026-03-30T20:23:23.445Z</dcterms:created>
  <dcterms:modified xsi:type="dcterms:W3CDTF">2026-03-30T20:23:23.445Z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