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c="http://schemas.openxmlformats.org/markup-compatibility/2006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 mc:Ignorable="w14 w15 wp14">
  <w:body>
    <w:p>
      <w:pPr>
        <w:spacing w:before="0" w:after="40"/>
        <w:jc w:val="center"/>
      </w:pPr>
      <w:r>
        <w:rPr>
          <w:rFonts w:ascii="Helvetica" w:cs="Helvetica" w:eastAsia="Helvetica" w:hAnsi="Helvetica"/>
          <w:b/>
          <w:bCs/>
          <w:i w:val="false"/>
          <w:iCs w:val="false"/>
          <w:color w:val="1A1A2E"/>
          <w:sz w:val="42"/>
          <w:szCs w:val="42"/>
        </w:rPr>
        <w:t xml:space="preserve">GUIDE D'INSTALLATION</w:t>
      </w:r>
    </w:p>
    <w:p>
      <w:pPr>
        <w:spacing w:before="0" w:after="20"/>
        <w:jc w:val="center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666666"/>
          <w:sz w:val="22"/>
          <w:szCs w:val="22"/>
        </w:rPr>
        <w:t xml:space="preserve">Longueurs de flexibles — Bons et mauvais exemples de montage</w:t>
      </w:r>
    </w:p>
    <w:p>
      <w:pPr>
        <w:spacing w:before="0" w:after="180"/>
        <w:jc w:val="center"/>
      </w:pPr>
      <w:r>
        <w:rPr>
          <w:rFonts w:ascii="Helvetica" w:cs="Helvetica" w:eastAsia="Helvetica" w:hAnsi="Helvetica"/>
          <w:b/>
          <w:bCs/>
          <w:i w:val="false"/>
          <w:iCs w:val="false"/>
          <w:color w:val="265EA2"/>
          <w:sz w:val="20"/>
          <w:szCs w:val="20"/>
        </w:rPr>
        <w:t xml:space="preserve">Injecta NK.TL 250  ·  Seko WashBasic L</w:t>
      </w:r>
    </w:p>
    <w:p>
      <w:pPr>
        <w:pBdr>
          <w:bottom w:val="single" w:color="1A1A2E" w:sz="8" w:space="1"/>
        </w:pBdr>
        <w:spacing w:before="0" w:after="100"/>
      </w:pPr>
      <w:r>
        <w:rPr>
          <w:rFonts w:ascii="Helvetica" w:cs="Helvetica" w:eastAsia="Helvetica" w:hAnsi="Helvetica"/>
          <w:b/>
          <w:bCs/>
          <w:i w:val="false"/>
          <w:iCs w:val="false"/>
          <w:color w:val="1A1A2E"/>
          <w:sz w:val="24"/>
          <w:szCs w:val="24"/>
        </w:rPr>
        <w:t xml:space="preserve">TABLEAU DE RÉFÉRENCE RAPIDE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1800"/>
        <w:gridCol w:w="1600"/>
        <w:gridCol w:w="2560"/>
      </w:tblGrid>
      <w:tr>
        <w:trPr>
          <w:tblHeader/>
        </w:trPr>
        <w:tc>
          <w:tcPr>
            <w:tcW w:type="dxa" w:w="1800"/>
            <w:tcBorders>
              <w:top w:val="single" w:color="252525" w:sz="4"/>
              <w:left w:val="single" w:color="252525" w:sz="4"/>
              <w:bottom w:val="single" w:color="252525" w:sz="4"/>
              <w:right w:val="single" w:color="252525" w:sz="4"/>
            </w:tcBorders>
            <w:shd w:fill="25252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"/>
                <w:szCs w:val="1"/>
              </w:rPr>
              <w:t xml:space="preserve"/>
            </w:r>
          </w:p>
        </w:tc>
        <w:tc>
          <w:tcPr>
            <w:tcW w:type="dxa" w:w="1600"/>
            <w:tcBorders>
              <w:top w:val="single" w:color="265EA2" w:sz="4"/>
              <w:left w:val="single" w:color="265EA2" w:sz="4"/>
              <w:bottom w:val="single" w:color="265EA2" w:sz="4"/>
              <w:right w:val="single" w:color="265EA2" w:sz="4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Injecta NK.TL 250</w:t>
            </w:r>
          </w:p>
        </w:tc>
        <w:tc>
          <w:tcPr>
            <w:tcW w:type="dxa" w:w="1800"/>
            <w:tcBorders>
              <w:top w:val="single" w:color="007A45" w:sz="4"/>
              <w:left w:val="single" w:color="007A45" w:sz="4"/>
              <w:bottom w:val="single" w:color="007A45" w:sz="4"/>
              <w:right w:val="single" w:color="007A45" w:sz="4"/>
            </w:tcBorders>
            <w:shd w:fill="007A4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Seko WashBasic L</w:t>
            </w:r>
          </w:p>
        </w:tc>
        <w:tc>
          <w:tcPr>
            <w:tcW w:type="dxa" w:w="1600"/>
            <w:tcBorders>
              <w:top w:val="single" w:color="252525" w:sz="4"/>
              <w:left w:val="single" w:color="252525" w:sz="4"/>
              <w:bottom w:val="single" w:color="252525" w:sz="4"/>
              <w:right w:val="single" w:color="252525" w:sz="4"/>
            </w:tcBorders>
            <w:shd w:fill="25252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Limite physique</w:t>
            </w:r>
          </w:p>
        </w:tc>
        <w:tc>
          <w:tcPr>
            <w:tcW w:type="dxa" w:w="2560"/>
            <w:tcBorders>
              <w:top w:val="single" w:color="E54E23" w:sz="4"/>
              <w:left w:val="single" w:color="E54E23" w:sz="4"/>
              <w:bottom w:val="single" w:color="E54E23" w:sz="4"/>
              <w:right w:val="single" w:color="E54E23" w:sz="4"/>
            </w:tcBorders>
            <w:shd w:fill="E54E2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Conséquence si dépassé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666666"/>
                <w:sz w:val="17"/>
                <w:szCs w:val="17"/>
              </w:rPr>
              <w:t xml:space="preserve">Flexible fourni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265EA2"/>
                <w:sz w:val="18"/>
                <w:szCs w:val="18"/>
              </w:rPr>
              <w:t xml:space="preserve">4 m · Ø 8×12 mm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5C33"/>
                <w:sz w:val="18"/>
                <w:szCs w:val="18"/>
              </w:rPr>
              <w:t xml:space="preserve">Tube Sekoflex (court)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— (fourni d'origine)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8"/>
                <w:szCs w:val="18"/>
              </w:rPr>
              <w:t xml:space="preserve">Rallonger = recalibrage obligatoire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666666"/>
                <w:sz w:val="17"/>
                <w:szCs w:val="17"/>
              </w:rPr>
              <w:t xml:space="preserve">Aspiration max.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265EA2"/>
                <w:sz w:val="18"/>
                <w:szCs w:val="18"/>
              </w:rPr>
              <w:t xml:space="preserve">≤ 3 m · Δh ≤ 2 m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5C33"/>
                <w:sz w:val="18"/>
                <w:szCs w:val="18"/>
              </w:rPr>
              <w:t xml:space="preserve">≤ 3 m · Δh ≤ 2 m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≤ 5 m (eau claire)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8"/>
                <w:szCs w:val="18"/>
              </w:rPr>
              <w:t xml:space="preserve">Désamorçage, dosage nul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666666"/>
                <w:sz w:val="17"/>
                <w:szCs w:val="17"/>
              </w:rPr>
              <w:t xml:space="preserve">Diamètre aspiration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265EA2"/>
                <w:sz w:val="18"/>
                <w:szCs w:val="18"/>
              </w:rPr>
              <w:t xml:space="preserve">Ø int. 8 mm (8×12)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5C33"/>
                <w:sz w:val="18"/>
                <w:szCs w:val="18"/>
              </w:rPr>
              <w:t xml:space="preserve">Ø Sekoflex fourni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≥ Ø raccord pompe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8"/>
                <w:szCs w:val="18"/>
              </w:rPr>
              <w:t xml:space="preserve">Cavitation, usure × 5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666666"/>
                <w:sz w:val="17"/>
                <w:szCs w:val="17"/>
              </w:rPr>
              <w:t xml:space="preserve">Refoulement max.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265EA2"/>
                <w:sz w:val="18"/>
                <w:szCs w:val="18"/>
              </w:rPr>
              <w:t xml:space="preserve">≤ 3 m · Δh ≤ 1 m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5C33"/>
                <w:sz w:val="18"/>
                <w:szCs w:val="18"/>
              </w:rPr>
              <w:t xml:space="preserve">≤ 2 m · 0,1 bar max.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1 bar (NK.TL) / 0,1 bar (WB L)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8"/>
                <w:szCs w:val="18"/>
              </w:rPr>
              <w:t xml:space="preserve">Rupture tube, sous-dosage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666666"/>
                <w:sz w:val="17"/>
                <w:szCs w:val="17"/>
              </w:rPr>
              <w:t xml:space="preserve">Coudes tolérés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0FA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265EA2"/>
                <w:sz w:val="18"/>
                <w:szCs w:val="18"/>
              </w:rPr>
              <w:t xml:space="preserve">≤ 2 coudes à 90°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6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5C33"/>
                <w:sz w:val="18"/>
                <w:szCs w:val="18"/>
              </w:rPr>
              <w:t xml:space="preserve">≤ 2 coudes à 90°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666666"/>
                <w:sz w:val="17"/>
                <w:szCs w:val="17"/>
              </w:rPr>
              <w:t xml:space="preserve">≡ +0,5 m / coude</w:t>
            </w:r>
          </w:p>
        </w:tc>
        <w:tc>
          <w:tcPr>
            <w:tcW w:type="dxa" w:w="2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EB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8"/>
                <w:szCs w:val="18"/>
              </w:rPr>
              <w:t xml:space="preserve">Pertes de charge &gt; débit nominal</w:t>
            </w:r>
          </w:p>
        </w:tc>
      </w:tr>
    </w:tbl>
    <w:p>
      <w:pPr>
        <w:spacing w:before="180" w:after="60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000000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10"/>
              <w:left w:val="single" w:color="F9A825" w:sz="10"/>
              <w:bottom w:val="single" w:color="F9A825" w:sz="10"/>
              <w:right w:val="single" w:color="F9A825" w:sz="10"/>
            </w:tcBorders>
            <w:shd w:fill="FFF8E1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7A5800"/>
                <w:sz w:val="20"/>
                <w:szCs w:val="20"/>
              </w:rPr>
              <w:t xml:space="preserve">⚠  RÈGLE ABSOLUE : </w:t>
            </w: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7A5800"/>
                <w:sz w:val="20"/>
                <w:szCs w:val="20"/>
              </w:rPr>
              <w:t xml:space="preserve">Toute modification de longueur de tube (aspiration ou refoulement) impose un recalibrage du temps de dosage. La résistance hydraulique accrue réduit le débit effectif sans que le display l'indique — le sous-dosage est invisible.</w:t>
            </w:r>
          </w:p>
        </w:tc>
      </w:tr>
    </w:tbl>
    <w:p>
      <w:pPr>
        <w:pBdr>
          <w:bottom w:val="single" w:color="1B5E20" w:sz="8" w:space="1"/>
        </w:pBdr>
        <w:spacing w:before="240" w:after="100"/>
      </w:pPr>
      <w:r>
        <w:t xml:space="preserve"/>
      </w:r>
      <w:r>
        <w:rPr>
          <w:rFonts w:ascii="Helvetica" w:cs="Helvetica" w:eastAsia="Helvetica" w:hAnsi="Helvetica"/>
          <w:b/>
          <w:bCs/>
          <w:i w:val="false"/>
          <w:iCs w:val="false"/>
          <w:color w:val="1B5E20"/>
          <w:sz w:val="28"/>
          <w:szCs w:val="28"/>
        </w:rPr>
        <w:t xml:space="preserve">✓  BON MONTAGE — Installation de référence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B5E20" w:sz="10"/>
              <w:left w:val="single" w:color="1B5E20" w:sz="10"/>
              <w:bottom w:val="single" w:color="1B5E20" w:sz="10"/>
              <w:right w:val="single" w:color="1B5E20" w:sz="10"/>
            </w:tcBorders>
            <w:shd w:fill="F1FFF4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drawing>
                <wp:inline distT="0" distB="0" distL="0" distR="0">
                  <wp:extent cx="5905500" cy="320040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B5E20" w:sz="10"/>
              <w:left w:val="single" w:color="1B5E20" w:sz="10"/>
              <w:bottom w:val="single" w:color="CCCCCC" w:sz="4"/>
              <w:right w:val="single" w:color="CCCCCC" w:sz="4"/>
            </w:tcBorders>
            <w:shd w:fill="F1ECE2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19"/>
                <w:szCs w:val="19"/>
              </w:rPr>
              <w:t xml:space="preserve">✓  Bidon posé EN DESSOUS ou AU MÊME NIVEAU que la pompe (aspiration assistée par gravité)</w:t>
            </w:r>
          </w:p>
        </w:tc>
      </w:tr>
      <w:tr>
        <w:tc>
          <w:tcPr>
            <w:tcBorders>
              <w:top w:val="single" w:color="CCCCCC" w:sz="4"/>
              <w:left w:val="single" w:color="1B5E20" w:sz="10"/>
              <w:bottom w:val="single" w:color="CCCCCC" w:sz="4"/>
              <w:right w:val="single" w:color="CCCCCC" w:sz="4"/>
            </w:tcBorders>
            <w:shd w:fill="F1ECE2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1B5E20"/>
                <w:sz w:val="19"/>
                <w:szCs w:val="19"/>
              </w:rPr>
              <w:t xml:space="preserve">✓  Distance bidon → pompe : ≤ 2 m de tube Ø 8×12 mm (Injecta) ou Sekoflex (Seko)</w:t>
            </w:r>
          </w:p>
        </w:tc>
      </w:tr>
      <w:tr>
        <w:tc>
          <w:tcPr>
            <w:tcBorders>
              <w:top w:val="single" w:color="CCCCCC" w:sz="4"/>
              <w:left w:val="single" w:color="1B5E20" w:sz="10"/>
              <w:bottom w:val="single" w:color="CCCCCC" w:sz="4"/>
              <w:right w:val="single" w:color="CCCCCC" w:sz="4"/>
            </w:tcBorders>
            <w:shd w:fill="F1ECE2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1B5E20"/>
                <w:sz w:val="19"/>
                <w:szCs w:val="19"/>
              </w:rPr>
              <w:t xml:space="preserve">✓  Pompe fixée au mur à hauteur d'œil, proche de la machine (refoulement ≤ 2 m)</w:t>
            </w:r>
          </w:p>
        </w:tc>
      </w:tr>
      <w:tr>
        <w:tc>
          <w:tcPr>
            <w:tcBorders>
              <w:top w:val="single" w:color="CCCCCC" w:sz="4"/>
              <w:left w:val="single" w:color="1B5E20" w:sz="10"/>
              <w:bottom w:val="single" w:color="CCCCCC" w:sz="4"/>
              <w:right w:val="single" w:color="CCCCCC" w:sz="4"/>
            </w:tcBorders>
            <w:shd w:fill="F1ECE2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1B5E20"/>
                <w:sz w:val="19"/>
                <w:szCs w:val="19"/>
              </w:rPr>
              <w:t xml:space="preserve">✓  Maximum 1–2 coudes doux (rayon ≥ 3× le Ø du tube), zéro boucle haute</w:t>
            </w:r>
          </w:p>
        </w:tc>
      </w:tr>
      <w:tr>
        <w:tc>
          <w:tcPr>
            <w:tcBorders>
              <w:top w:val="single" w:color="CCCCCC" w:sz="4"/>
              <w:left w:val="single" w:color="1B5E20" w:sz="10"/>
              <w:bottom w:val="single" w:color="CCCCCC" w:sz="4"/>
              <w:right w:val="single" w:color="CCCCCC" w:sz="4"/>
            </w:tcBorders>
            <w:shd w:fill="F1ECE2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1B5E20"/>
                <w:sz w:val="19"/>
                <w:szCs w:val="19"/>
              </w:rPr>
              <w:t xml:space="preserve">✓  Tube de refoulement piqué directement dans l'orifice d'injection de la machine</w:t>
            </w:r>
          </w:p>
        </w:tc>
      </w:tr>
    </w:tbl>
    <w:p>
      <w:pPr>
        <w:pBdr>
          <w:bottom w:val="single" w:color="E54E23" w:sz="8" w:space="1"/>
        </w:pBdr>
        <w:spacing w:before="240" w:after="100"/>
      </w:pPr>
      <w:r>
        <w:t xml:space="preserve"/>
      </w:r>
      <w:r>
        <w:rPr>
          <w:rFonts w:ascii="Helvetica" w:cs="Helvetica" w:eastAsia="Helvetica" w:hAnsi="Helvetica"/>
          <w:b/>
          <w:bCs/>
          <w:i w:val="false"/>
          <w:iCs w:val="false"/>
          <w:color w:val="E54E23"/>
          <w:sz w:val="28"/>
          <w:szCs w:val="28"/>
        </w:rPr>
        <w:t xml:space="preserve">✗  MAUVAIS MONTAGE N°1 — Tube aspiration trop long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E54E23" w:sz="10"/>
              <w:right w:val="single" w:color="E54E23" w:sz="10"/>
            </w:tcBorders>
            <w:shd w:fill="F1ECE2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drawing>
                <wp:inline distT="0" distB="0" distL="0" distR="0">
                  <wp:extent cx="5905500" cy="320040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E54E23"/>
                <w:sz w:val="19"/>
                <w:szCs w:val="19"/>
              </w:rPr>
              <w:t xml:space="preserve">PROBLÈME : Distance bidon → pompe supérieure à 5 m avec un tracé en zigzag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La pompe péristaltique crée une dépression d'environ 0,8 bar maximum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Au-delà de 4–5 m de tube Ø 8×12 mm, les pertes de charge dépassent la capacité d'aspiration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Résultat : désamorçage, dosage nul ou erratique, alarme moteur déclenchée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Cas aggravant : si le tube zigzague sur une longueur équivalente &gt; 6 m sans jamais monter → même résultat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SOLUTION : Rapprocher le bidon (≤ 2 m) ou installer une lance d'aspiration en option</w:t>
            </w:r>
          </w:p>
        </w:tc>
      </w:tr>
    </w:tbl>
    <w:p>
      <w:pPr>
        <w:pBdr>
          <w:bottom w:val="single" w:color="E54E23" w:sz="8" w:space="1"/>
        </w:pBdr>
        <w:spacing w:before="240" w:after="100"/>
      </w:pPr>
      <w:r>
        <w:t xml:space="preserve"/>
      </w:r>
      <w:r>
        <w:rPr>
          <w:rFonts w:ascii="Helvetica" w:cs="Helvetica" w:eastAsia="Helvetica" w:hAnsi="Helvetica"/>
          <w:b/>
          <w:bCs/>
          <w:i w:val="false"/>
          <w:iCs w:val="false"/>
          <w:color w:val="E54E23"/>
          <w:sz w:val="28"/>
          <w:szCs w:val="28"/>
        </w:rPr>
        <w:t xml:space="preserve">✗  MAUVAIS MONTAGE N°2 — Bidon positionné plus haut que la pompe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E54E23" w:sz="10"/>
              <w:right w:val="single" w:color="E54E23" w:sz="10"/>
            </w:tcBorders>
            <w:shd w:fill="F1ECE2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drawing>
                <wp:inline distT="0" distB="0" distL="0" distR="0">
                  <wp:extent cx="5905500" cy="320040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E54E23"/>
                <w:sz w:val="19"/>
                <w:szCs w:val="19"/>
              </w:rPr>
              <w:t xml:space="preserve">PROBLÈME : Le bidon est posé sur une étagère au-dessus de la pompe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La colonne de liquide en hauteur crée une pression positive côté aspiration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Le produit s'écoule en continu par siphonnage SANS que la pompe soit déclenchée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Sur-dosage massif dès que le tube est rempli : produit injecté en permanence dans la machine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Risque chimique réel : lessive concentrée dans un tambour vide ou en plein cycle hors programme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SOLUTION : Toujours positionner le bidon EN DESSOUS ou au même niveau que la pompe</w:t>
            </w:r>
          </w:p>
        </w:tc>
      </w:tr>
    </w:tbl>
    <w:p>
      <w:pPr>
        <w:pBdr>
          <w:bottom w:val="single" w:color="E54E23" w:sz="8" w:space="1"/>
        </w:pBdr>
        <w:spacing w:before="240" w:after="100"/>
      </w:pPr>
      <w:r>
        <w:t xml:space="preserve"/>
      </w:r>
      <w:r>
        <w:rPr>
          <w:rFonts w:ascii="Helvetica" w:cs="Helvetica" w:eastAsia="Helvetica" w:hAnsi="Helvetica"/>
          <w:b/>
          <w:bCs/>
          <w:i w:val="false"/>
          <w:iCs w:val="false"/>
          <w:color w:val="E54E23"/>
          <w:sz w:val="28"/>
          <w:szCs w:val="28"/>
        </w:rPr>
        <w:t xml:space="preserve">✗  MAUVAIS MONTAGE N°3 — Coudes multiples et restriction de diamètre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E54E23" w:sz="10"/>
              <w:right w:val="single" w:color="E54E23" w:sz="10"/>
            </w:tcBorders>
            <w:shd w:fill="F1ECE2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drawing>
                <wp:inline distT="0" distB="0" distL="0" distR="0">
                  <wp:extent cx="5905500" cy="320040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E54E23"/>
                <w:sz w:val="19"/>
                <w:szCs w:val="19"/>
              </w:rPr>
              <w:t xml:space="preserve">PROBLÈME : Tracé contournant des obstacles avec 10 coudes à 90° et un pincement de tube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Chaque coude à 90° équivaut à environ 0,5 m de tube droit supplémentaire en pertes de charge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10 coudes = +5 m équivalent → la longueur effective dépasse 8–10 m même si le tracé fait 3 m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Un pincement de tube (même partiel) réduit le débit de 40 à 70 % selon le taux d'écrasement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Résultat cumulé : sous-dosage permanent, tube interne surchauffé, usure prématurée × 3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SOLUTION : Tracer le tube en ligne droite, rayon de courbure ≥ 3× Ø, 2 coudes max.</w:t>
            </w:r>
          </w:p>
        </w:tc>
      </w:tr>
    </w:tbl>
    <w:p>
      <w:pPr>
        <w:pBdr>
          <w:bottom w:val="single" w:color="E54E23" w:sz="8" w:space="1"/>
        </w:pBdr>
        <w:spacing w:before="240" w:after="100"/>
      </w:pPr>
      <w:r>
        <w:t xml:space="preserve"/>
      </w:r>
      <w:r>
        <w:rPr>
          <w:rFonts w:ascii="Helvetica" w:cs="Helvetica" w:eastAsia="Helvetica" w:hAnsi="Helvetica"/>
          <w:b/>
          <w:bCs/>
          <w:i w:val="false"/>
          <w:iCs w:val="false"/>
          <w:color w:val="E54E23"/>
          <w:sz w:val="28"/>
          <w:szCs w:val="28"/>
        </w:rPr>
        <w:t xml:space="preserve">✗  MAUVAIS MONTAGE N°4 — Boucle haute côté aspiration (poche d'air)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E54E23" w:sz="10"/>
              <w:right w:val="single" w:color="E54E23" w:sz="10"/>
            </w:tcBorders>
            <w:shd w:fill="F1ECE2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drawing>
                <wp:inline distT="0" distB="0" distL="0" distR="0">
                  <wp:extent cx="5905500" cy="320040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E54E23"/>
                <w:sz w:val="19"/>
                <w:szCs w:val="19"/>
              </w:rPr>
              <w:t xml:space="preserve">PROBLÈME : Le tube aspiration monte puis redescend, formant un siphon inversé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L'air s'accumule au point haut de la boucle — la dépression ne peut pas l'évacuer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La pompe aspire l'air emprisonné, pas le liquide → phénomène de cavitation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Le display peut afficher 'run' normalement alors que rien n'est dosé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Les bulles d'air peuvent déclencher l'alarme de surcharge moteur (1-A-L-r sur Injecta)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SOLUTION : Tube aspiration en descente continue de la pompe vers le bidon, sans boucle</w:t>
            </w:r>
          </w:p>
        </w:tc>
      </w:tr>
    </w:tbl>
    <w:p>
      <w:pPr>
        <w:pBdr>
          <w:bottom w:val="single" w:color="E54E23" w:sz="8" w:space="1"/>
        </w:pBdr>
        <w:spacing w:before="240" w:after="100"/>
      </w:pPr>
      <w:r>
        <w:t xml:space="preserve"/>
      </w:r>
      <w:r>
        <w:rPr>
          <w:rFonts w:ascii="Helvetica" w:cs="Helvetica" w:eastAsia="Helvetica" w:hAnsi="Helvetica"/>
          <w:b/>
          <w:bCs/>
          <w:i w:val="false"/>
          <w:iCs w:val="false"/>
          <w:color w:val="E54E23"/>
          <w:sz w:val="28"/>
          <w:szCs w:val="28"/>
        </w:rPr>
        <w:t xml:space="preserve">✗  MAUVAIS MONTAGE N°5 — Refoulement trop long et contre-pression excessive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E54E23" w:sz="10"/>
              <w:right w:val="single" w:color="E54E23" w:sz="10"/>
            </w:tcBorders>
            <w:shd w:fill="F1ECE2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drawing>
                <wp:inline distT="0" distB="0" distL="0" distR="0">
                  <wp:extent cx="5905500" cy="320040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E54E23"/>
                <w:sz w:val="19"/>
                <w:szCs w:val="19"/>
              </w:rPr>
              <w:t xml:space="preserve">PROBLÈME : La pompe est loin de la machine avec un long circuit de refoulement sinueux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La Seko WashBasic L supporte maximum 0,1 bar de contre-pression en refoulement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Un tube de 5 m avec 3 coudes génère facilement 0,15–0,2 bar → dépasse la limite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Conséquence immédiate : le tube interne reste comprimé entre les cycles → usure × 3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Le dosage apparent semble correct mais le débit réel est 20–30 % inférieur au nominal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SOLUTION : Pompe au plus près de la machine. Refoulement ≤ 2 m pour la WashBasic L</w:t>
            </w:r>
          </w:p>
        </w:tc>
      </w:tr>
    </w:tbl>
    <w:p>
      <w:pPr>
        <w:pBdr>
          <w:bottom w:val="single" w:color="E54E23" w:sz="8" w:space="1"/>
        </w:pBdr>
        <w:spacing w:before="240" w:after="100"/>
      </w:pPr>
      <w:r>
        <w:t xml:space="preserve"/>
      </w:r>
      <w:r>
        <w:rPr>
          <w:rFonts w:ascii="Helvetica" w:cs="Helvetica" w:eastAsia="Helvetica" w:hAnsi="Helvetica"/>
          <w:b/>
          <w:bCs/>
          <w:i w:val="false"/>
          <w:iCs w:val="false"/>
          <w:color w:val="E54E23"/>
          <w:sz w:val="28"/>
          <w:szCs w:val="28"/>
        </w:rPr>
        <w:t xml:space="preserve">✗  MAUVAIS MONTAGE N°6 — Diamètre de tube incorrect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E54E23" w:sz="10"/>
              <w:right w:val="single" w:color="E54E23" w:sz="10"/>
            </w:tcBorders>
            <w:shd w:fill="F1ECE2" w:val="clear"/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before="0" w:after="0"/>
              <w:jc w:val="center"/>
            </w:pPr>
            <w:r>
              <w:drawing>
                <wp:inline distT="0" distB="0" distL="0" distR="0">
                  <wp:extent cx="5905500" cy="3200400"/>
                  <wp:effectExtent t="0" r="0" b="0" l="0"/>
                  <wp:docPr id="1" name="" descr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E54E23" w:sz="10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E54E23"/>
                <w:sz w:val="19"/>
                <w:szCs w:val="19"/>
              </w:rPr>
              <w:t xml:space="preserve">PROBLÈME : Utilisation d'un tube de diamètre non préconisé (trop fin ou trop large)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Tube trop fin (ex : Ø 3×5 au lieu de 8×12) : vitesse de fluide excessive, aspiration difficile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Tube trop fin → chaleur par friction dans le tube interne de la pompe → durée de vie ÷ 5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Tube trop large côté refoulement : pas de pression résiduelle, le produit peut refluer vers la pompe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✗  Utiliser un tube générique non compatible avec les raccords = risque de fuite sur les connecteurs</w:t>
            </w:r>
          </w:p>
        </w:tc>
      </w:tr>
      <w:tr>
        <w:tc>
          <w:tcPr>
            <w:tcBorders>
              <w:top w:val="single" w:color="CCCCCC" w:sz="4"/>
              <w:left w:val="single" w:color="E54E23" w:sz="10"/>
              <w:bottom w:val="single" w:color="CCCCCC" w:sz="4"/>
              <w:right w:val="single" w:color="CCCCCC" w:sz="4"/>
            </w:tcBorders>
            <w:shd w:fill="FFEBEE" w:val="clear"/>
            <w:tcMar>
              <w:top w:type="dxa" w:w="50"/>
              <w:left w:type="dxa" w:w="160"/>
              <w:bottom w:type="dxa" w:w="5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E54E23"/>
                <w:sz w:val="19"/>
                <w:szCs w:val="19"/>
              </w:rPr>
              <w:t xml:space="preserve">SOLUTION : Injecta NK.TL → Ø 8×12 mm silicone ou PVC. Seko WashBasic L → Sekoflex propriétaire uniquement</w:t>
            </w:r>
          </w:p>
        </w:tc>
      </w:tr>
    </w:tbl>
    <w:p>
      <w:pPr>
        <w:pBdr>
          <w:bottom w:val="single" w:color="1A1A2E" w:sz="8" w:space="1"/>
        </w:pBdr>
        <w:spacing w:before="280" w:after="100"/>
      </w:pPr>
      <w:r>
        <w:rPr>
          <w:rFonts w:ascii="Helvetica" w:cs="Helvetica" w:eastAsia="Helvetica" w:hAnsi="Helvetica"/>
          <w:b/>
          <w:bCs/>
          <w:i w:val="false"/>
          <w:iCs w:val="false"/>
          <w:color w:val="1A1A2E"/>
          <w:sz w:val="24"/>
          <w:szCs w:val="24"/>
        </w:rPr>
        <w:t xml:space="preserve">CHECKLIST D'INSTALLATION — Avant la mise en service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Bidon positionné en dessous ou au même niveau que la pompe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Longueur totale tube aspiration ≤ 3 m (Ø 8×12 mm Injecta / Sekoflex Seko)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Aucune boucle haute dans le tracé aspiration (pas de siphon inversé)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Nombre de coudes aspiration ≤ 2, rayon de courbure ≥ 3× Ø tube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Longueur tube refoulement ≤ 2 m (WashBasic L) ou ≤ 3 m (NK.TL)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Pas de pincement, restriction ou réduction de diamètre sur le circuit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Tube de refoulement piqué directement dans l'orifice d'injection machine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Amorçage testé (bouton PRIME façade) avant première mise en service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Calibrage du dosage vérifié après branchement (mesure volume injecté)</w:t>
            </w:r>
          </w:p>
        </w:tc>
      </w:tr>
      <w:tr>
        <w:tc>
          <w:tcPr>
            <w:tcW w:type="dxa" w:w="600"/>
            <w:tcBorders>
              <w:top w:val="single" w:color="CCCCCC" w:sz="4"/>
              <w:left w:val="single" w:color="1B5E20" w:sz="4"/>
              <w:bottom w:val="single" w:color="CCCCCC" w:sz="4"/>
              <w:right w:val="single" w:color="CCCCCC" w:sz="4"/>
            </w:tcBorders>
            <w:shd w:fill="F1ECE2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/>
                <w:bCs/>
                <w:i w:val="false"/>
                <w:iCs w:val="false"/>
                <w:color w:val="1B5E20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AFAFA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before="0" w:after="0"/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i w:val="false"/>
                <w:iCs w:val="false"/>
                <w:color w:val="000000"/>
                <w:sz w:val="19"/>
                <w:szCs w:val="19"/>
              </w:rPr>
              <w:t xml:space="preserve">Tube interne (pièce d'usure) noté pour remplacement tous les 6–12 mois</w:t>
            </w:r>
          </w:p>
        </w:tc>
      </w:tr>
    </w:tbl>
    <w:p>
      <w:pPr>
        <w:spacing w:before="200" w:after="40"/>
      </w:pPr>
      <w:r>
        <w:rPr>
          <w:rFonts w:ascii="Helvetica" w:cs="Helvetica" w:eastAsia="Helvetica" w:hAnsi="Helvetica"/>
          <w:b/>
          <w:bCs/>
          <w:i w:val="false"/>
          <w:iCs w:val="false"/>
          <w:color w:val="666666"/>
          <w:sz w:val="17"/>
          <w:szCs w:val="17"/>
        </w:rPr>
        <w:t xml:space="preserve">Sources :</w:t>
      </w:r>
    </w:p>
    <w:p>
      <w:pPr>
        <w:spacing w:before="0" w:after="0"/>
      </w:pPr>
      <w:r>
        <w:rPr>
          <w:rFonts w:ascii="Helvetica" w:cs="Helvetica" w:eastAsia="Helvetica" w:hAnsi="Helvetica"/>
          <w:b w:val="false"/>
          <w:bCs w:val="false"/>
          <w:i/>
          <w:iCs/>
          <w:color w:val="666666"/>
          <w:sz w:val="16"/>
          <w:szCs w:val="16"/>
        </w:rPr>
        <w:t xml:space="preserve">france-lessive.fr · azurconceptblanchisserie.fr · seko.com · blue-white.com · albinpump.com · 1h2o3.com · prominent.fr</w:t>
      </w:r>
    </w:p>
    <w:sectPr>
      <w:footerReference w:type="default" r:id="rId7"/>
      <w:pgSz w:w="12240" w:h="15840" w:orient="portrait"/>
      <w:pgMar w:top="1080" w:right="900" w:bottom="1080" w:left="900" w:header="708" w:footer="708" w:gutter="0"/>
      <w:pgNumType/>
      <w:docGrid w:linePitch="360"/>
      <w:headerReference w:type="default" r:id="rId16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80"/>
      <w:jc w:val="center"/>
    </w:pPr>
    <w:r>
      <w:rPr>
        <w:rFonts w:ascii="Helvetica" w:cs="Helvetica" w:eastAsia="Helvetica" w:hAnsi="Helvetica"/>
        <w:b w:val="false"/>
        <w:bCs w:val="false"/>
        <w:i w:val="false"/>
        <w:iCs w:val="false"/>
        <w:color w:val="666666"/>
        <w:sz w:val="16"/>
        <w:szCs w:val="16"/>
      </w:rPr>
      <w:t xml:space="preserve">Injecta NK.TL 250 &amp; Seko WashBasic L  ·  Blanchisserie professionnelle  ·  Page </w:t>
    </w:r>
    <w:r>
      <w:rPr>
        <w:rFonts w:ascii="Helvetica" w:cs="Helvetica" w:eastAsia="Helvetica" w:hAnsi="Helvetica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settings" Target="settings.xml" /><Relationship Id="rId5" Type="http://schemas.openxmlformats.org/officeDocument/2006/relationships/comments" Target="comments.xml" /><Relationship Id="rId7" Type="http://schemas.openxmlformats.org/officeDocument/2006/relationships/footer" Target="footer1.xml" /><Relationship Id="rId8" Type="http://schemas.openxmlformats.org/officeDocument/2006/relationships/image" Target="media/225ccd7d39feb7233f73a7e9c8b2f25180685bc1.png" /><Relationship Id="rId9" Type="http://schemas.openxmlformats.org/officeDocument/2006/relationships/image" Target="media/94fa1acd8ba9684a31d431a72f7f962babc50b0a.png" /><Relationship Id="rId10" Type="http://schemas.openxmlformats.org/officeDocument/2006/relationships/image" Target="media/107dd482703a74405ef08fd9a1b60457a4e73830.png" /><Relationship Id="rId11" Type="http://schemas.openxmlformats.org/officeDocument/2006/relationships/image" Target="media/ce44385956ebd59da7d154dfdcec196f640e0821.png" /><Relationship Id="rId12" Type="http://schemas.openxmlformats.org/officeDocument/2006/relationships/image" Target="media/ece6b4b7460a9ac31f31dabc52de38e5692037e7.png" /><Relationship Id="rId13" Type="http://schemas.openxmlformats.org/officeDocument/2006/relationships/image" Target="media/bedab49d96f87f75df66dcde571f6bae2091683f.png" /><Relationship Id="rId14" Type="http://schemas.openxmlformats.org/officeDocument/2006/relationships/image" Target="media/9cf41168ade9a779a324d81d2e87ccb2c236ea5e.png" /><Relationship Id="rId15" Type="http://schemas.openxmlformats.org/officeDocument/2006/relationships/fontTable" Target="fontTable.xml" /><Relationship Id="rId16" Type="http://schemas.openxmlformats.org/officeDocument/2006/relationships/header" Target="header1.xml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2026-03-19T20:24:18.399Z</dcterms:created>
  <dcterms:modified xsi:type="dcterms:W3CDTF">2026-03-19T20:24:18.400Z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