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PartName="/word/header1.xml" ContentType="application/vnd.openxmlformats-officedocument.wordprocessingml.head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r="http://schemas.openxmlformats.org/officeDocument/2006/relationships" xmlns:w="http://schemas.openxmlformats.org/wordprocessingml/2006/main" mc:Ignorable="w14 w15 wp14">
  <w:body>
    <w:p>
      <w:pPr>
        <w:spacing w:after="80"/>
        <w:jc w:val="center"/>
      </w:pPr>
      <w:r>
        <w:rPr>
          <w:rFonts w:ascii="Helvetica" w:cs="Helvetica" w:eastAsia="Helvetica" w:hAnsi="Helvetica"/>
          <w:b/>
          <w:bCs/>
          <w:color w:val="265EA2"/>
          <w:sz w:val="36"/>
          <w:szCs w:val="36"/>
        </w:rPr>
        <w:t xml:space="preserve">MATRICE DE RISQUES — LAVANDIERS</w:t>
      </w:r>
    </w:p>
    <w:p>
      <w:pPr>
        <w:spacing w:after="200"/>
        <w:jc w:val="center"/>
      </w:pPr>
      <w:r>
        <w:rPr>
          <w:rFonts w:ascii="Helvetica" w:cs="Helvetica" w:eastAsia="Helvetica" w:hAnsi="Helvetica"/>
          <w:color w:val="666666"/>
          <w:sz w:val="22"/>
          <w:szCs w:val="22"/>
        </w:rPr>
        <w:t xml:space="preserve">15 risques identifiés — 5 catégories — Mars 2026</w:t>
      </w:r>
    </w:p>
    <w:p>
      <w:pPr>
        <w:spacing w:after="200"/>
      </w:pPr>
      <w:r>
        <w:rPr>
          <w:rFonts w:ascii="Helvetica" w:cs="Helvetica" w:eastAsia="Helvetica" w:hAnsi="Helvetica"/>
          <w:b/>
          <w:bCs/>
          <w:sz w:val="18"/>
          <w:szCs w:val="18"/>
        </w:rPr>
        <w:t xml:space="preserve">Légende :  </w:t>
      </w:r>
      <w:r>
        <w:rPr>
          <w:rFonts w:ascii="Helvetica" w:cs="Helvetica" w:eastAsia="Helvetica" w:hAnsi="Helvetica"/>
          <w:color w:val="E54E23"/>
          <w:sz w:val="18"/>
          <w:szCs w:val="18"/>
        </w:rPr>
        <w:t xml:space="preserve">  Rouge = Élevé  </w:t>
      </w:r>
      <w:r>
        <w:rPr>
          <w:rFonts w:ascii="Helvetica" w:cs="Helvetica" w:eastAsia="Helvetica" w:hAnsi="Helvetica"/>
          <w:color w:val="B7950B"/>
          <w:sz w:val="18"/>
          <w:szCs w:val="18"/>
        </w:rPr>
        <w:t xml:space="preserve">  Jaune = Moyen  </w:t>
      </w:r>
      <w:r>
        <w:rPr>
          <w:rFonts w:ascii="Helvetica" w:cs="Helvetica" w:eastAsia="Helvetica" w:hAnsi="Helvetica"/>
          <w:color w:val="265EA2"/>
          <w:sz w:val="18"/>
          <w:szCs w:val="18"/>
        </w:rPr>
        <w:t xml:space="preserve">  Vert = Faible  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2526"/>
        <w:gridCol w:w="800"/>
        <w:gridCol w:w="800"/>
        <w:gridCol w:w="3700"/>
      </w:tblGrid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Catégorie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Risque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Prob.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Impact</w:t>
            </w:r>
          </w:p>
        </w:tc>
        <w:tc>
          <w:tcPr>
            <w:tcW w:type="dxa" w:w="3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Mitigation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Commercial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Refus partenariat Ariel / P&amp;G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Moyen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Élevé</w:t>
            </w:r>
          </w:p>
        </w:tc>
        <w:tc>
          <w:tcPr>
            <w:tcW w:type="dxa" w:w="3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Alternatives identifiées : Henkel (Le Chat Pro), Unilever (Skip Pro). Dossier solide avec SBD 60 ans.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Commercial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Refus partenariat Pentair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Moyen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Moyen</w:t>
            </w:r>
          </w:p>
        </w:tc>
        <w:tc>
          <w:tcPr>
            <w:tcW w:type="dxa" w:w="3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Alternatives : BWT, Culligan (distributeur), marques Fleck via revendeurs. Pentair Pro App non indispensable en phase 1.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Commercial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Taux de conversion exploitants faible (&lt;20%)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Moyen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Élevé</w:t>
            </w:r>
          </w:p>
        </w:tc>
        <w:tc>
          <w:tcPr>
            <w:tcW w:type="dxa" w:w="3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Pilote gratuit sur 3-5 sites SBD pour prouver le ROI. Offre pompe gratuite (engagement 12-24 mois). Réseau SBD = 50 sites captifs.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Commercial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Concurrence WASHiN sur segment IDF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Faible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Moyen</w:t>
            </w:r>
          </w:p>
        </w:tc>
        <w:tc>
          <w:tcPr>
            <w:tcW w:type="dxa" w:w="3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WASHiN cible hébergement pro (camping, résidences), pas laveries indépendantes. Modèles non concurrents à court terme.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Commercial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Franchises (Speed Queen, Wash'n Dry) verrouillent le marché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Faible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Moyen</w:t>
            </w:r>
          </w:p>
        </w:tc>
        <w:tc>
          <w:tcPr>
            <w:tcW w:type="dxa" w:w="3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Cible = indépendants (60-70% du marché). Les franchisés sont exclus par contrat. Marché résiduel suffisant.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Technique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Panne pompe doseuse en service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Moyen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Moyen</w:t>
            </w:r>
          </w:p>
        </w:tc>
        <w:tc>
          <w:tcPr>
            <w:tcW w:type="dxa" w:w="3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Stock de pompes de remplacement. SLA intervention 30 min à 48h. Pièces détachées Injecta référencées.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Technique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Mauvais dimensionnement adoucisseur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Faible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Moyen</w:t>
            </w:r>
          </w:p>
        </w:tc>
        <w:tc>
          <w:tcPr>
            <w:tcW w:type="dxa" w:w="3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Audit dureté eau systématique avant installation. Support technique Pentair pour dimensionnement. 3 gammes Fleck couvrent tous les profils.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Technique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Problème qualité lessive reconditionnée (IBC→bidon 20L)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Faible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Élevé</w:t>
            </w:r>
          </w:p>
        </w:tc>
        <w:tc>
          <w:tcPr>
            <w:tcW w:type="dxa" w:w="3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Étiquetage CLP conforme. Processus de reconditionnement documenté. Traçabilité lot par lot. Assurance RC Pro.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Financier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Trésorerie insuffisante en phase de démarrage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Moyen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Élevé</w:t>
            </w:r>
          </w:p>
        </w:tc>
        <w:tc>
          <w:tcPr>
            <w:tcW w:type="dxa" w:w="3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Adossement au Groupe SBD (société familiale, 60 ans). Investissement initial limité (6 550€ pour 50 pompes). Marge brute 50% dès le premier bidon.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Financier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Hausse prix Ariel vrac (&gt;2,50€/L)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Faible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Moyen</w:t>
            </w:r>
          </w:p>
        </w:tc>
        <w:tc>
          <w:tcPr>
            <w:tcW w:type="dxa" w:w="3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Contrat volume avec clause prix. Alternatives fournisseurs identifiées. Marge actuelle (2,50€/L) absorbe une hausse de 20%.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Financier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Impayés exploitants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Moyen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Moyen</w:t>
            </w:r>
          </w:p>
        </w:tc>
        <w:tc>
          <w:tcPr>
            <w:tcW w:type="dxa" w:w="3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Paiement à la livraison ou prélèvement mensuel. Pompe en prêt = levier de récupération. Clients récurrents (consommable).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Réglementaire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Non-conformité étiquetage CLP pour bidons reconditionnés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Faible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Élevé</w:t>
            </w:r>
          </w:p>
        </w:tc>
        <w:tc>
          <w:tcPr>
            <w:tcW w:type="dxa" w:w="3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Vérification juridique étiquetage avant lancement. Licence marque Ariel si co-branding. Veille réglementaire REACH/CLP.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Réglementaire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Évolution norme stockage produits chimiques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Faible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Faible</w:t>
            </w:r>
          </w:p>
        </w:tc>
        <w:tc>
          <w:tcPr>
            <w:tcW w:type="dxa" w:w="3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Volumes faibles (bidons 20L, pas de stockage massif). Conformité ICPE non requise sous seuils.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Opérationnel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Difficulté recrutement techniciens terrain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Moyen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Moyen</w:t>
            </w:r>
          </w:p>
        </w:tc>
        <w:tc>
          <w:tcPr>
            <w:tcW w:type="dxa" w:w="3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Phase 1 assurée par l'équipe fondatrice (3 personnes + réseau SBD). Recrutement à partir de 100+ clients.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Opérationnel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Logistique livraison saturée (tournées IDF)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Moyen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Moyen</w:t>
            </w:r>
          </w:p>
        </w:tc>
        <w:tc>
          <w:tcPr>
            <w:tcW w:type="dxa" w:w="3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sz w:val="18"/>
                <w:szCs w:val="18"/>
              </w:rPr>
              <w:t xml:space="preserve">Optimisation tournées par zone. Véhicule utilitaire dédié. Sous-traitance possible au-delà de 150 clients.</w:t>
            </w:r>
          </w:p>
        </w:tc>
      </w:tr>
    </w:tbl>
    <w:p>
      <w:pPr>
        <w:spacing w:before="200"/>
      </w:pPr>
      <w:r>
        <w:rPr>
          <w:rFonts w:ascii="Helvetica" w:cs="Helvetica" w:eastAsia="Helvetica" w:hAnsi="Helvetica"/>
          <w:b/>
          <w:bCs/>
          <w:sz w:val="20"/>
          <w:szCs w:val="20"/>
        </w:rPr>
        <w:t xml:space="preserve">Synthèse : </w:t>
      </w:r>
      <w:r>
        <w:rPr>
          <w:rFonts w:ascii="Helvetica" w:cs="Helvetica" w:eastAsia="Helvetica" w:hAnsi="Helvetica"/>
          <w:sz w:val="20"/>
          <w:szCs w:val="20"/>
        </w:rPr>
        <w:t xml:space="preserve">Sur 15 risques identifiés, 4 sont classés Élevé (impact majeur sur le lancement). Chacun dispose d'une stratégie de mitigation documentée. Le principal facteur de résilience est l'adossement au Groupe SBD (60 ans, 50+ laveries), qui réduit significativement les risques commerciaux, financiers et opérationnels.</w:t>
      </w:r>
    </w:p>
    <w:sectPr>
      <w:footerReference w:type="default" r:id="rId8"/>
      <w:pgSz w:w="11906" w:h="16838" w:orient="landscape"/>
      <w:pgMar w:top="1080" w:right="1080" w:bottom="1080" w:left="1080" w:header="708" w:footer="708" w:gutter="0"/>
      <w:pgNumType/>
      <w:docGrid w:linePitch="360"/>
      <w:headerReference w:type="default" r:id="rId1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Helvetica" w:cs="Helvetica" w:eastAsia="Helvetica" w:hAnsi="Helvetica"/>
        <w:color w:val="999999"/>
        <w:sz w:val="16"/>
        <w:szCs w:val="16"/>
      </w:rPr>
      <w:t xml:space="preserve">Page </w:t>
    </w:r>
    <w:r>
      <w:rPr>
        <w:rFonts w:ascii="Helvetica" w:cs="Helvetica" w:eastAsia="Helvetica" w:hAnsi="Helvetica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14="http://schemas.microsoft.com/office/word/2010/wordprocessingDrawing">
  <w:p>
    <w:pPr>
      <w:pStyle w:val="Header"/>
      <w:jc w:val="right"/>
    </w:pPr>
    <w:r>
      <w:drawing>
        <wp:inline distT="0" distB="0" distL="0" distR="0">
          <wp:extent cx="720000" cy="740000"/>
          <wp:docPr id="1" name="Logo Lavandiers"/>
          <a:graphic>
            <a:graphicData uri="http://schemas.openxmlformats.org/drawingml/2006/picture">
              <pic:pic>
                <pic:nvPicPr>
                  <pic:cNvPr id="1" name="logo_lavandier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0" cy="7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cs="Helvetica" w:eastAsia="Helvetica" w:hAnsi="Helvetic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65EA2"/>
      <w:sz w:val="32"/>
      <w:szCs w:val="32"/>
    </w:rPr>
  </w:style>
  <w:style w:type="paragraph" w:styleId="Heading2">
    <w:name w:val="Heading 2"/>
    <w:basedOn w:val="Normal"/>
    <w:next w:val="Normal"/>
    <w:qFormat/>
    <w:rPr>
      <w:color w:val="265EA2"/>
      <w:sz w:val="26"/>
      <w:szCs w:val="26"/>
    </w:rPr>
  </w:style>
  <w:style w:type="paragraph" w:styleId="Heading3">
    <w:name w:val="Heading 3"/>
    <w:basedOn w:val="Normal"/>
    <w:next w:val="Normal"/>
    <w:qFormat/>
    <w:rPr>
      <w:color w:val="265EA2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65EA2"/>
    </w:rPr>
  </w:style>
  <w:style w:type="paragraph" w:styleId="Heading5">
    <w:name w:val="Heading 5"/>
    <w:basedOn w:val="Normal"/>
    <w:next w:val="Normal"/>
    <w:qFormat/>
    <w:rPr>
      <w:color w:val="265EA2"/>
    </w:rPr>
  </w:style>
  <w:style w:type="paragraph" w:styleId="Heading6">
    <w:name w:val="Heading 6"/>
    <w:basedOn w:val="Normal"/>
    <w:next w:val="Normal"/>
    <w:qFormat/>
    <w:rPr>
      <w:color w:val="265EA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265EA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Helvetica" w:cs="Helvetica" w:eastAsia="Helvetica" w:hAnsi="Helvetica"/>
      <w:b/>
      <w:bCs/>
      <w:color w:val="265EA2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60" w:before="240"/>
      <w:outlineLvl w:val="1"/>
    </w:pPr>
    <w:rPr>
      <w:rFonts w:ascii="Helvetica" w:cs="Helvetica" w:eastAsia="Helvetica" w:hAnsi="Helvetica"/>
      <w:b/>
      <w:bCs/>
      <w:color w:val="265EA2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numbering" Target="numbering.xml" /><Relationship Id="rId3" Type="http://schemas.openxmlformats.org/officeDocument/2006/relationships/footnotes" Target="footnotes.xml" /><Relationship Id="rId4" Type="http://schemas.openxmlformats.org/officeDocument/2006/relationships/endnotes" Target="endnotes.xml" /><Relationship Id="rId5" Type="http://schemas.openxmlformats.org/officeDocument/2006/relationships/settings" Target="settings.xml" /><Relationship Id="rId6" Type="http://schemas.openxmlformats.org/officeDocument/2006/relationships/comments" Target="comments.xml" /><Relationship Id="rId8" Type="http://schemas.openxmlformats.org/officeDocument/2006/relationships/footer" Target="footer1.xml" /><Relationship Id="rId9" Type="http://schemas.openxmlformats.org/officeDocument/2006/relationships/fontTable" Target="fontTable.xml" /><Relationship Id="rId10" Type="http://schemas.openxmlformats.org/officeDocument/2006/relationships/header" Target="header1.xml" 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logo_lavandiers.png"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2026-03-30T20:21:32.160Z</dcterms:created>
  <dcterms:modified xsi:type="dcterms:W3CDTF">2026-03-30T20:21:32.160Z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