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15 wp14">
  <w:body>
    <w:p>
      <w:pPr>
        <w:spacing w:after="80"/>
      </w:pPr>
      <w:r>
        <w:t xml:space="preserve"/>
      </w:r>
    </w:p>
    <w:p>
      <w:pPr>
        <w:spacing w:after="80"/>
      </w:pPr>
      <w:r>
        <w:t xml:space="preserve"/>
      </w:r>
    </w:p>
    <w:p>
      <w:pPr>
        <w:spacing w:after="80"/>
      </w:pPr>
      <w:r>
        <w:t xml:space="preserve"/>
      </w:r>
    </w:p>
    <w:p>
      <w:pPr>
        <w:spacing w:after="200"/>
        <w:jc w:val="center"/>
      </w:pPr>
      <w:r>
        <w:rPr>
          <w:rFonts w:ascii="Helvetica" w:cs="Helvetica" w:eastAsia="Helvetica" w:hAnsi="Helvetica"/>
          <w:b/>
          <w:bCs/>
          <w:color w:val="E54E23"/>
          <w:sz w:val="20"/>
          <w:szCs w:val="20"/>
        </w:rPr>
        <w:t xml:space="preserve">⚠  CONFIDENTIEL</w:t>
      </w:r>
    </w:p>
    <w:p>
      <w:pPr>
        <w:spacing w:after="120"/>
        <w:jc w:val="center"/>
      </w:pPr>
      <w:r>
        <w:rPr>
          <w:rFonts w:ascii="Helvetica" w:cs="Helvetica" w:eastAsia="Helvetica" w:hAnsi="Helvetica"/>
          <w:b/>
          <w:bCs/>
          <w:color w:val="265EA2"/>
          <w:sz w:val="36"/>
          <w:szCs w:val="36"/>
        </w:rPr>
        <w:t xml:space="preserve">NOTE D'ANALYSE</w:t>
      </w:r>
    </w:p>
    <w:p>
      <w:pPr>
        <w:spacing w:after="120"/>
        <w:jc w:val="center"/>
      </w:pPr>
      <w:r>
        <w:rPr>
          <w:rFonts w:ascii="Helvetica" w:cs="Helvetica" w:eastAsia="Helvetica" w:hAnsi="Helvetica"/>
          <w:b/>
          <w:bCs/>
          <w:color w:val="2E5090"/>
          <w:sz w:val="44"/>
          <w:szCs w:val="44"/>
        </w:rPr>
        <w:t xml:space="preserve">WASHIN.FR</w:t>
      </w:r>
    </w:p>
    <w:p>
      <w:pPr>
        <w:spacing w:after="400"/>
        <w:jc w:val="center"/>
      </w:pPr>
      <w:r>
        <w:rPr>
          <w:rFonts w:ascii="Helvetica" w:cs="Helvetica" w:eastAsia="Helvetica" w:hAnsi="Helvetica"/>
          <w:i/>
          <w:iCs/>
          <w:color w:val="555555"/>
          <w:sz w:val="22"/>
          <w:szCs w:val="22"/>
        </w:rPr>
        <w:t xml:space="preserve">Laverie connectée — Analyse stratégique &amp; commerciale</w:t>
      </w:r>
    </w:p>
    <w:p>
      <w:pPr>
        <w:spacing w:after="120"/>
        <w:jc w:val="center"/>
      </w:pPr>
      <w:r>
        <w:rPr>
          <w:rFonts w:ascii="Helvetica" w:cs="Helvetica" w:eastAsia="Helvetica" w:hAnsi="Helvetica"/>
          <w:color w:val="333333"/>
          <w:sz w:val="20"/>
          <w:szCs w:val="20"/>
        </w:rPr>
        <w:t xml:space="preserve">Date : 24 mars 2026</w:t>
      </w:r>
    </w:p>
    <w:p>
      <w:pPr>
        <w:spacing w:after="600"/>
        <w:jc w:val="center"/>
      </w:pPr>
      <w:r>
        <w:rPr>
          <w:rFonts w:ascii="Helvetica" w:cs="Helvetica" w:eastAsia="Helvetica" w:hAnsi="Helvetica"/>
          <w:b/>
          <w:bCs/>
          <w:color w:val="E54E23"/>
          <w:sz w:val="18"/>
          <w:szCs w:val="18"/>
        </w:rPr>
        <w:t xml:space="preserve">Classification : CONFIDENTIEL — Usage interne</w:t>
      </w:r>
    </w:p>
    <w:p>
      <w:pPr>
        <w:pBdr>
          <w:bottom w:val="single" w:color="2E5090" w:sz="6" w:space="1"/>
        </w:pBdr>
        <w:spacing w:after="200"/>
      </w:pPr>
    </w:p>
    <w:p>
      <w:pPr>
        <w:spacing w:after="80"/>
      </w:pPr>
      <w:r>
        <w:t xml:space="preserve"/>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1. Identité de la société</w:t>
      </w:r>
    </w:p>
    <w:p>
      <w:pPr>
        <w:pBdr>
          <w:bottom w:val="single" w:color="2E5090" w:sz="6" w:space="1"/>
        </w:pBdr>
        <w:spacing w:after="200"/>
      </w:pP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500"/>
        <w:gridCol w:w="5800"/>
      </w:tblGrid>
      <w:tr>
        <w:tc>
          <w:tcPr>
            <w:tcW w:type="dxa" w:w="35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Élément</w:t>
            </w:r>
          </w:p>
        </w:tc>
        <w:tc>
          <w:tcPr>
            <w:tcW w:type="dxa" w:w="58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Information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Raison sociale</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WASHIN</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Forme juridique</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SAS (Société par Actions Simplifiée)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Date de création</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Juillet 2019</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Siège social</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12 rue Saint-Denis, 34000 Montpellier (Hérault)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Nouveau siège (2025)</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Valergues (Hérault), près de Lunel — 300 m²</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SIREN</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852 726 165</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Code NAF</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9601B — Blanchisserie-teinturerie de détail</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Capital social</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13 470 €</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Effectif</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10 à 12 salariés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Site web</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washin.fr</w:t>
            </w:r>
          </w:p>
        </w:tc>
      </w:tr>
    </w:tbl>
    <w:p>
      <w:pPr>
        <w:spacing w:after="80"/>
      </w:pPr>
      <w:r>
        <w:t xml:space="preserve"/>
      </w:r>
    </w:p>
    <w:p>
      <w:pPr>
        <w:pStyle w:val="Heading2"/>
        <w:spacing w:before="200" w:after="100"/>
      </w:pPr>
      <w:r>
        <w:rPr>
          <w:rFonts w:ascii="Helvetica" w:cs="Helvetica" w:eastAsia="Helvetica" w:hAnsi="Helvetica"/>
          <w:b/>
          <w:bCs/>
          <w:color w:val="2E5090"/>
          <w:sz w:val="22"/>
          <w:szCs w:val="22"/>
        </w:rPr>
        <w:t xml:space="preserve">Direction</w:t>
      </w:r>
    </w:p>
    <w:p>
      <w:pPr>
        <w:spacing w:after="100"/>
      </w:pPr>
      <w:r>
        <w:rPr>
          <w:rFonts w:ascii="Helvetica" w:cs="Helvetica" w:eastAsia="Helvetica" w:hAnsi="Helvetica"/>
          <w:b/>
          <w:bCs/>
          <w:color w:val="265EA2"/>
          <w:sz w:val="20"/>
          <w:szCs w:val="20"/>
        </w:rPr>
        <w:t xml:space="preserve">Président : </w:t>
      </w:r>
      <w:r>
        <w:rPr>
          <w:rFonts w:ascii="Helvetica" w:cs="Helvetica" w:eastAsia="Helvetica" w:hAnsi="Helvetica"/>
          <w:sz w:val="20"/>
          <w:szCs w:val="20"/>
        </w:rPr>
        <w:t xml:space="preserve">Laurent Sébastien Teisserenc-Bonesteve</w:t>
      </w:r>
    </w:p>
    <w:p>
      <w:pPr>
        <w:spacing w:after="100"/>
      </w:pPr>
      <w:r>
        <w:rPr>
          <w:rFonts w:ascii="Helvetica" w:cs="Helvetica" w:eastAsia="Helvetica" w:hAnsi="Helvetica"/>
          <w:b/>
          <w:bCs/>
          <w:color w:val="265EA2"/>
          <w:sz w:val="20"/>
          <w:szCs w:val="20"/>
        </w:rPr>
        <w:t xml:space="preserve">Directeur Général &amp; Fondateur : </w:t>
      </w:r>
      <w:r>
        <w:rPr>
          <w:rFonts w:ascii="Helvetica" w:cs="Helvetica" w:eastAsia="Helvetica" w:hAnsi="Helvetica"/>
          <w:sz w:val="20"/>
          <w:szCs w:val="20"/>
        </w:rPr>
        <w:t xml:space="preserve">Dimitri Belin (29 ans)</w:t>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2. Coordonnées</w:t>
      </w:r>
    </w:p>
    <w:p>
      <w:pPr>
        <w:pBdr>
          <w:bottom w:val="single" w:color="2E5090" w:sz="6" w:space="1"/>
        </w:pBdr>
        <w:spacing w:after="200"/>
      </w:pP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500"/>
        <w:gridCol w:w="5800"/>
      </w:tblGrid>
      <w:tr>
        <w:tc>
          <w:tcPr>
            <w:tcW w:type="dxa" w:w="35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Canal</w:t>
            </w:r>
          </w:p>
        </w:tc>
        <w:tc>
          <w:tcPr>
            <w:tcW w:type="dxa" w:w="58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Coordonnée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Email général</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contact@washin.fr</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Email commercial</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sales@washin.fr</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Téléphone</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0 800 948 006 (numéro vert, gratuit)</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Instagram</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@washin_laverie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LinkedIn</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linkedin.com/company/washinfree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Application iOS</w:t>
            </w:r>
          </w:p>
        </w:tc>
        <w:tc>
          <w:tcPr>
            <w:tcW w:type="dxa" w:w="5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App Store — WASHiN (INNOVATION SCRIPT UAB)</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Application Android</w:t>
            </w:r>
          </w:p>
        </w:tc>
        <w:tc>
          <w:tcPr>
            <w:tcW w:type="dxa" w:w="5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Google Play — WASHiN</w:t>
            </w:r>
          </w:p>
        </w:tc>
      </w:tr>
    </w:tbl>
    <w:p>
      <w:pPr>
        <w:spacing w:after="80"/>
      </w:pPr>
      <w:r>
        <w:t xml:space="preserve"/>
      </w:r>
    </w:p>
    <w:p>
      <w:pPr>
        <w:pStyle w:val="Heading1"/>
        <w:spacing w:before="320" w:after="160"/>
      </w:pPr>
      <w:r>
        <w:rPr>
          <w:rFonts w:ascii="Helvetica" w:cs="Helvetica" w:eastAsia="Helvetica" w:hAnsi="Helvetica"/>
          <w:b/>
          <w:bCs/>
          <w:color w:val="265EA2"/>
          <w:sz w:val="26"/>
          <w:szCs w:val="26"/>
        </w:rPr>
        <w:t xml:space="preserve">3. Activité &amp; Positionnement</w:t>
      </w:r>
    </w:p>
    <w:p>
      <w:pPr>
        <w:pBdr>
          <w:bottom w:val="single" w:color="2E5090" w:sz="6" w:space="1"/>
        </w:pBdr>
        <w:spacing w:after="200"/>
      </w:pPr>
    </w:p>
    <w:p>
      <w:pPr>
        <w:spacing w:after="120"/>
      </w:pPr>
      <w:r>
        <w:rPr>
          <w:rFonts w:ascii="Helvetica" w:cs="Helvetica" w:eastAsia="Helvetica" w:hAnsi="Helvetica"/>
          <w:b w:val="false"/>
          <w:bCs w:val="false"/>
          <w:sz w:val="20"/>
          <w:szCs w:val="20"/>
        </w:rPr>
        <w:t xml:space="preserve">WASHiN se positionne comme le leader européen de la laverie connectée clé en main, à destination exclusive des professionnels gestionnaires d'hébergements collectifs.</w:t>
      </w:r>
    </w:p>
    <w:p>
      <w:pPr>
        <w:spacing w:after="80"/>
      </w:pPr>
      <w:r>
        <w:t xml:space="preserve"/>
      </w:r>
    </w:p>
    <w:p>
      <w:pPr>
        <w:pStyle w:val="Heading2"/>
        <w:spacing w:before="200" w:after="100"/>
      </w:pPr>
      <w:r>
        <w:rPr>
          <w:rFonts w:ascii="Helvetica" w:cs="Helvetica" w:eastAsia="Helvetica" w:hAnsi="Helvetica"/>
          <w:b/>
          <w:bCs/>
          <w:color w:val="2E5090"/>
          <w:sz w:val="22"/>
          <w:szCs w:val="22"/>
        </w:rPr>
        <w:t xml:space="preserve">Marchés cibles</w:t>
      </w:r>
    </w:p>
    <w:p>
      <w:pPr>
        <w:pStyle w:val="ListParagraph"/>
        <w:numPr>
          <w:ilvl w:val="0"/>
          <w:numId w:val="2"/>
        </w:numPr>
        <w:spacing w:after="80"/>
      </w:pPr>
      <w:r>
        <w:rPr>
          <w:rFonts w:ascii="Helvetica" w:cs="Helvetica" w:eastAsia="Helvetica" w:hAnsi="Helvetica"/>
          <w:sz w:val="20"/>
          <w:szCs w:val="20"/>
        </w:rPr>
        <w:t xml:space="preserve">Tourisme : campings, stations de ski, villages vacances</w:t>
      </w:r>
    </w:p>
    <w:p>
      <w:pPr>
        <w:pStyle w:val="ListParagraph"/>
        <w:numPr>
          <w:ilvl w:val="0"/>
          <w:numId w:val="2"/>
        </w:numPr>
        <w:spacing w:after="80"/>
      </w:pPr>
      <w:r>
        <w:rPr>
          <w:rFonts w:ascii="Helvetica" w:cs="Helvetica" w:eastAsia="Helvetica" w:hAnsi="Helvetica"/>
          <w:sz w:val="20"/>
          <w:szCs w:val="20"/>
        </w:rPr>
        <w:t xml:space="preserve">Hébergement : résidences étudiantes, coliving, hôtels, appart-hôtels</w:t>
      </w:r>
    </w:p>
    <w:p>
      <w:pPr>
        <w:pStyle w:val="ListParagraph"/>
        <w:numPr>
          <w:ilvl w:val="0"/>
          <w:numId w:val="2"/>
        </w:numPr>
        <w:spacing w:after="80"/>
      </w:pPr>
      <w:r>
        <w:rPr>
          <w:rFonts w:ascii="Helvetica" w:cs="Helvetica" w:eastAsia="Helvetica" w:hAnsi="Helvetica"/>
          <w:sz w:val="20"/>
          <w:szCs w:val="20"/>
        </w:rPr>
        <w:t xml:space="preserve">Santé : hôpitaux, cliniques, EHPAD</w:t>
      </w:r>
    </w:p>
    <w:p>
      <w:pPr>
        <w:pStyle w:val="ListParagraph"/>
        <w:numPr>
          <w:ilvl w:val="0"/>
          <w:numId w:val="2"/>
        </w:numPr>
        <w:spacing w:after="80"/>
      </w:pPr>
      <w:r>
        <w:rPr>
          <w:rFonts w:ascii="Helvetica" w:cs="Helvetica" w:eastAsia="Helvetica" w:hAnsi="Helvetica"/>
          <w:sz w:val="20"/>
          <w:szCs w:val="20"/>
        </w:rPr>
        <w:t xml:space="preserve">Secteur public / défense : casernes militaires, gendarmeries</w:t>
      </w:r>
    </w:p>
    <w:p>
      <w:pPr>
        <w:pStyle w:val="ListParagraph"/>
        <w:numPr>
          <w:ilvl w:val="0"/>
          <w:numId w:val="2"/>
        </w:numPr>
        <w:spacing w:after="80"/>
      </w:pPr>
      <w:r>
        <w:rPr>
          <w:rFonts w:ascii="Helvetica" w:cs="Helvetica" w:eastAsia="Helvetica" w:hAnsi="Helvetica"/>
          <w:sz w:val="20"/>
          <w:szCs w:val="20"/>
        </w:rPr>
        <w:t xml:space="preserve">Entreprises : espaces de coworking, stations-service (TotalEnergies)</w:t>
      </w:r>
    </w:p>
    <w:p>
      <w:pPr>
        <w:spacing w:after="80"/>
      </w:pPr>
      <w:r>
        <w:t xml:space="preserve"/>
      </w:r>
    </w:p>
    <w:p>
      <w:pPr>
        <w:pStyle w:val="Heading2"/>
        <w:spacing w:before="200" w:after="100"/>
      </w:pPr>
      <w:r>
        <w:rPr>
          <w:rFonts w:ascii="Helvetica" w:cs="Helvetica" w:eastAsia="Helvetica" w:hAnsi="Helvetica"/>
          <w:b/>
          <w:bCs/>
          <w:color w:val="2E5090"/>
          <w:sz w:val="22"/>
          <w:szCs w:val="22"/>
        </w:rPr>
        <w:t xml:space="preserve">Clients grands comptes référencés</w:t>
      </w:r>
    </w:p>
    <w:p>
      <w:pPr>
        <w:pStyle w:val="ListParagraph"/>
        <w:numPr>
          <w:ilvl w:val="0"/>
          <w:numId w:val="2"/>
        </w:numPr>
        <w:spacing w:after="80"/>
      </w:pPr>
      <w:r>
        <w:rPr>
          <w:rFonts w:ascii="Helvetica" w:cs="Helvetica" w:eastAsia="Helvetica" w:hAnsi="Helvetica"/>
          <w:sz w:val="20"/>
          <w:szCs w:val="20"/>
        </w:rPr>
        <w:t xml:space="preserve">Vinci (autoroutes)</w:t>
      </w:r>
    </w:p>
    <w:p>
      <w:pPr>
        <w:pStyle w:val="ListParagraph"/>
        <w:numPr>
          <w:ilvl w:val="0"/>
          <w:numId w:val="2"/>
        </w:numPr>
        <w:spacing w:after="80"/>
      </w:pPr>
      <w:r>
        <w:rPr>
          <w:rFonts w:ascii="Helvetica" w:cs="Helvetica" w:eastAsia="Helvetica" w:hAnsi="Helvetica"/>
          <w:sz w:val="20"/>
          <w:szCs w:val="20"/>
        </w:rPr>
        <w:t xml:space="preserve">Appart'City</w:t>
      </w:r>
    </w:p>
    <w:p>
      <w:pPr>
        <w:pStyle w:val="ListParagraph"/>
        <w:numPr>
          <w:ilvl w:val="0"/>
          <w:numId w:val="2"/>
        </w:numPr>
        <w:spacing w:after="80"/>
      </w:pPr>
      <w:r>
        <w:rPr>
          <w:rFonts w:ascii="Helvetica" w:cs="Helvetica" w:eastAsia="Helvetica" w:hAnsi="Helvetica"/>
          <w:sz w:val="20"/>
          <w:szCs w:val="20"/>
        </w:rPr>
        <w:t xml:space="preserve">Citya Immobilier</w:t>
      </w:r>
    </w:p>
    <w:p>
      <w:pPr>
        <w:pStyle w:val="ListParagraph"/>
        <w:numPr>
          <w:ilvl w:val="0"/>
          <w:numId w:val="2"/>
        </w:numPr>
        <w:spacing w:after="80"/>
      </w:pPr>
      <w:r>
        <w:rPr>
          <w:rFonts w:ascii="Helvetica" w:cs="Helvetica" w:eastAsia="Helvetica" w:hAnsi="Helvetica"/>
          <w:sz w:val="20"/>
          <w:szCs w:val="20"/>
        </w:rPr>
        <w:t xml:space="preserve">Nexity (résidences étudiantes)</w:t>
      </w:r>
    </w:p>
    <w:p>
      <w:pPr>
        <w:pStyle w:val="ListParagraph"/>
        <w:numPr>
          <w:ilvl w:val="0"/>
          <w:numId w:val="2"/>
        </w:numPr>
        <w:spacing w:after="80"/>
      </w:pPr>
      <w:r>
        <w:rPr>
          <w:rFonts w:ascii="Helvetica" w:cs="Helvetica" w:eastAsia="Helvetica" w:hAnsi="Helvetica"/>
          <w:sz w:val="20"/>
          <w:szCs w:val="20"/>
        </w:rPr>
        <w:t xml:space="preserve">TotalEnergies (kiosques en station-service)</w:t>
      </w:r>
    </w:p>
    <w:p>
      <w:pPr>
        <w:pStyle w:val="ListParagraph"/>
        <w:numPr>
          <w:ilvl w:val="0"/>
          <w:numId w:val="2"/>
        </w:numPr>
        <w:spacing w:after="80"/>
      </w:pPr>
      <w:r>
        <w:rPr>
          <w:rFonts w:ascii="Helvetica" w:cs="Helvetica" w:eastAsia="Helvetica" w:hAnsi="Helvetica"/>
          <w:sz w:val="20"/>
          <w:szCs w:val="20"/>
        </w:rPr>
        <w:t xml:space="preserve">Adoma / CDC Habitat (résidences sociales — 15 machines signées)</w:t>
      </w:r>
    </w:p>
    <w:p>
      <w:pPr>
        <w:pStyle w:val="ListParagraph"/>
        <w:numPr>
          <w:ilvl w:val="0"/>
          <w:numId w:val="2"/>
        </w:numPr>
        <w:spacing w:after="80"/>
      </w:pPr>
      <w:r>
        <w:rPr>
          <w:rFonts w:ascii="Helvetica" w:cs="Helvetica" w:eastAsia="Helvetica" w:hAnsi="Helvetica"/>
          <w:sz w:val="20"/>
          <w:szCs w:val="20"/>
        </w:rPr>
        <w:t xml:space="preserve">Tohapi (groupe campings — 300 machines)</w:t>
      </w:r>
    </w:p>
    <w:p>
      <w:pPr>
        <w:pStyle w:val="ListParagraph"/>
        <w:numPr>
          <w:ilvl w:val="0"/>
          <w:numId w:val="2"/>
        </w:numPr>
        <w:spacing w:after="80"/>
      </w:pPr>
      <w:r>
        <w:rPr>
          <w:rFonts w:ascii="Helvetica" w:cs="Helvetica" w:eastAsia="Helvetica" w:hAnsi="Helvetica"/>
          <w:sz w:val="20"/>
          <w:szCs w:val="20"/>
        </w:rPr>
        <w:t xml:space="preserve">Promologis</w:t>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4. Modèle économique</w:t>
      </w:r>
    </w:p>
    <w:p>
      <w:pPr>
        <w:pBdr>
          <w:bottom w:val="single" w:color="2E5090" w:sz="6" w:space="1"/>
        </w:pBdr>
        <w:spacing w:after="200"/>
      </w:pPr>
    </w:p>
    <w:p>
      <w:pPr>
        <w:pStyle w:val="Heading2"/>
        <w:spacing w:before="200" w:after="100"/>
      </w:pPr>
      <w:r>
        <w:rPr>
          <w:rFonts w:ascii="Helvetica" w:cs="Helvetica" w:eastAsia="Helvetica" w:hAnsi="Helvetica"/>
          <w:b/>
          <w:bCs/>
          <w:color w:val="2E5090"/>
          <w:sz w:val="22"/>
          <w:szCs w:val="22"/>
        </w:rPr>
        <w:t xml:space="preserve">Modèle 0 CAPEX — 0 OPEX</w:t>
      </w:r>
    </w:p>
    <w:p>
      <w:pPr>
        <w:spacing w:after="120"/>
      </w:pPr>
      <w:r>
        <w:rPr>
          <w:rFonts w:ascii="Helvetica" w:cs="Helvetica" w:eastAsia="Helvetica" w:hAnsi="Helvetica"/>
          <w:b w:val="false"/>
          <w:bCs w:val="false"/>
          <w:sz w:val="20"/>
          <w:szCs w:val="20"/>
        </w:rPr>
        <w:t xml:space="preserve">Le gestionnaire d'établissement ne supporte aucun investissement. WASHiN finance les machines, l'installation, la maintenance et le SAV. En contrepartie, WASHiN prélève une commission sur chaque cycle payé par l'utilisateur final. Le client professionnel perçoit une rétrocession (taux non communiqué publiquement).</w:t>
      </w:r>
    </w:p>
    <w:p>
      <w:pPr>
        <w:spacing w:after="80"/>
      </w:pPr>
      <w:r>
        <w:t xml:space="preserve"/>
      </w:r>
    </w:p>
    <w:p>
      <w:pPr>
        <w:pStyle w:val="Heading2"/>
        <w:spacing w:before="200" w:after="100"/>
      </w:pPr>
      <w:r>
        <w:rPr>
          <w:rFonts w:ascii="Helvetica" w:cs="Helvetica" w:eastAsia="Helvetica" w:hAnsi="Helvetica"/>
          <w:b/>
          <w:bCs/>
          <w:color w:val="2E5090"/>
          <w:sz w:val="22"/>
          <w:szCs w:val="22"/>
        </w:rPr>
        <w:t xml:space="preserve">Avantage client revendiqué</w:t>
      </w:r>
    </w:p>
    <w:p>
      <w:pPr>
        <w:pStyle w:val="ListParagraph"/>
        <w:numPr>
          <w:ilvl w:val="0"/>
          <w:numId w:val="2"/>
        </w:numPr>
        <w:spacing w:after="80"/>
      </w:pPr>
      <w:r>
        <w:rPr>
          <w:rFonts w:ascii="Helvetica" w:cs="Helvetica" w:eastAsia="Helvetica" w:hAnsi="Helvetica"/>
          <w:sz w:val="20"/>
          <w:szCs w:val="20"/>
        </w:rPr>
        <w:t xml:space="preserve">+20 à +30 % de chiffre d'affaires vs une laverie classique</w:t>
      </w:r>
    </w:p>
    <w:p>
      <w:pPr>
        <w:pStyle w:val="ListParagraph"/>
        <w:numPr>
          <w:ilvl w:val="0"/>
          <w:numId w:val="2"/>
        </w:numPr>
        <w:spacing w:after="80"/>
      </w:pPr>
      <w:r>
        <w:rPr>
          <w:rFonts w:ascii="Helvetica" w:cs="Helvetica" w:eastAsia="Helvetica" w:hAnsi="Helvetica"/>
          <w:sz w:val="20"/>
          <w:szCs w:val="20"/>
        </w:rPr>
        <w:t xml:space="preserve">Aucune gestion de cash, paiement 100% dématérialisé</w:t>
      </w:r>
    </w:p>
    <w:p>
      <w:pPr>
        <w:pStyle w:val="ListParagraph"/>
        <w:numPr>
          <w:ilvl w:val="0"/>
          <w:numId w:val="2"/>
        </w:numPr>
        <w:spacing w:after="80"/>
      </w:pPr>
      <w:r>
        <w:rPr>
          <w:rFonts w:ascii="Helvetica" w:cs="Helvetica" w:eastAsia="Helvetica" w:hAnsi="Helvetica"/>
          <w:sz w:val="20"/>
          <w:szCs w:val="20"/>
        </w:rPr>
        <w:t xml:space="preserve">Tableau de bord temps réel : fréquentation, revenus, performances</w:t>
      </w:r>
    </w:p>
    <w:p>
      <w:pPr>
        <w:pStyle w:val="ListParagraph"/>
        <w:numPr>
          <w:ilvl w:val="0"/>
          <w:numId w:val="2"/>
        </w:numPr>
        <w:spacing w:after="80"/>
      </w:pPr>
      <w:r>
        <w:rPr>
          <w:rFonts w:ascii="Helvetica" w:cs="Helvetica" w:eastAsia="Helvetica" w:hAnsi="Helvetica"/>
          <w:sz w:val="20"/>
          <w:szCs w:val="20"/>
        </w:rPr>
        <w:t xml:space="preserve">SAV 7j/7, intervention entre 30 min et 48h selon zone</w:t>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5. Chiffres clés vérifiés</w:t>
      </w:r>
    </w:p>
    <w:p>
      <w:pPr>
        <w:pBdr>
          <w:bottom w:val="single" w:color="2E5090" w:sz="6" w:space="1"/>
        </w:pBdr>
        <w:spacing w:after="200"/>
      </w:pP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800"/>
        <w:gridCol w:w="2200"/>
        <w:gridCol w:w="3300"/>
      </w:tblGrid>
      <w:tr>
        <w:tc>
          <w:tcPr>
            <w:tcW w:type="dxa" w:w="38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Indicateur</w:t>
            </w:r>
          </w:p>
        </w:tc>
        <w:tc>
          <w:tcPr>
            <w:tcW w:type="dxa" w:w="22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Valeur</w:t>
            </w:r>
          </w:p>
        </w:tc>
        <w:tc>
          <w:tcPr>
            <w:tcW w:type="dxa" w:w="33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Source / Note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CA 2020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100 000 €</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Journal des Entreprises</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CA 2024</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4,4 – 4,5 M€</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Journal des Entreprises (janv. 2025)</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CA 2025 (prévisionnel)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5,5 M€</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Objectif interne</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CA 2028 (objectif)</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11,5 M€</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Objectif export activé</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Croissance annuelle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25 à 37 %</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Données publiées 2025</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Laveries exploitées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750</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Oct. 2025</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Machines connectées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2 800</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Oct. 2025</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Laveries installées / an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150 à 200</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Réseau de 80 installateurs</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Clients actifs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+ 50 comptes</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Site officiel</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Salariés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10 à 12</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Sources presse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Entrepôt secondaire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600 m² à Lyon</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Article JDE oct. 2025</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Investissement siège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650 000 €</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Valergues (Hérault)</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Objectif 2026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1 000 laveries</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Déclaration PDG</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Pays couverts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France + 4 pays EU</w:t>
            </w:r>
          </w:p>
        </w:tc>
        <w:tc>
          <w:tcPr>
            <w:tcW w:type="dxa" w:w="3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Belgique, Italie, Luxembourg, Espagne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CA moyen / laverie / an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~6 000 € (estimation)</w:t>
            </w:r>
          </w:p>
        </w:tc>
        <w:tc>
          <w:tcPr>
            <w:tcW w:type="dxa" w:w="3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Calcul : CA 2024 / 750 sites</w:t>
            </w:r>
          </w:p>
        </w:tc>
      </w:tr>
    </w:tbl>
    <w:p>
      <w:pPr>
        <w:spacing w:after="80"/>
      </w:pPr>
      <w:r>
        <w:t xml:space="preserve"/>
      </w:r>
    </w:p>
    <w:p>
      <w:pPr>
        <w:pStyle w:val="Heading1"/>
        <w:spacing w:before="320" w:after="160"/>
      </w:pPr>
      <w:r>
        <w:rPr>
          <w:rFonts w:ascii="Helvetica" w:cs="Helvetica" w:eastAsia="Helvetica" w:hAnsi="Helvetica"/>
          <w:b/>
          <w:bCs/>
          <w:color w:val="265EA2"/>
          <w:sz w:val="26"/>
          <w:szCs w:val="26"/>
        </w:rPr>
        <w:t xml:space="preserve">6. Offre de services</w:t>
      </w:r>
    </w:p>
    <w:p>
      <w:pPr>
        <w:pBdr>
          <w:bottom w:val="single" w:color="2E5090" w:sz="6" w:space="1"/>
        </w:pBdr>
        <w:spacing w:after="200"/>
      </w:pPr>
    </w:p>
    <w:p>
      <w:pPr>
        <w:pStyle w:val="Heading2"/>
        <w:spacing w:before="200" w:after="100"/>
      </w:pPr>
      <w:r>
        <w:rPr>
          <w:rFonts w:ascii="Helvetica" w:cs="Helvetica" w:eastAsia="Helvetica" w:hAnsi="Helvetica"/>
          <w:b/>
          <w:bCs/>
          <w:color w:val="2E5090"/>
          <w:sz w:val="22"/>
          <w:szCs w:val="22"/>
        </w:rPr>
        <w:t xml:space="preserve">Laverie indoor connectée</w:t>
      </w:r>
    </w:p>
    <w:p>
      <w:pPr>
        <w:spacing w:after="120"/>
      </w:pPr>
      <w:r>
        <w:rPr>
          <w:rFonts w:ascii="Helvetica" w:cs="Helvetica" w:eastAsia="Helvetica" w:hAnsi="Helvetica"/>
          <w:b w:val="false"/>
          <w:bCs w:val="false"/>
          <w:sz w:val="20"/>
          <w:szCs w:val="20"/>
        </w:rPr>
        <w:t xml:space="preserve">Installation dans les espaces communs d'hébergements collectifs. L'application mobile permet réservation, paiement et suivi en temps réel. Lessive Ecocert® injectée automatiquement.</w:t>
      </w:r>
    </w:p>
    <w:p>
      <w:pPr>
        <w:pStyle w:val="Heading2"/>
        <w:spacing w:before="200" w:after="100"/>
      </w:pPr>
      <w:r>
        <w:rPr>
          <w:rFonts w:ascii="Helvetica" w:cs="Helvetica" w:eastAsia="Helvetica" w:hAnsi="Helvetica"/>
          <w:b/>
          <w:bCs/>
          <w:color w:val="2E5090"/>
          <w:sz w:val="22"/>
          <w:szCs w:val="22"/>
        </w:rPr>
        <w:t xml:space="preserve">Laverie outdoor / Kiosque 2.0</w:t>
      </w:r>
    </w:p>
    <w:p>
      <w:pPr>
        <w:spacing w:after="120"/>
      </w:pPr>
      <w:r>
        <w:rPr>
          <w:rFonts w:ascii="Helvetica" w:cs="Helvetica" w:eastAsia="Helvetica" w:hAnsi="Helvetica"/>
          <w:b w:val="false"/>
          <w:bCs w:val="false"/>
          <w:sz w:val="20"/>
          <w:szCs w:val="20"/>
        </w:rPr>
        <w:t xml:space="preserve">Kiosque autonome installé en parking, accessible 24h/24. Conforme normes PMR. Adapté aux sites sans espace intérieur disponible.</w:t>
      </w:r>
    </w:p>
    <w:p>
      <w:pPr>
        <w:pStyle w:val="Heading2"/>
        <w:spacing w:before="200" w:after="100"/>
      </w:pPr>
      <w:r>
        <w:rPr>
          <w:rFonts w:ascii="Helvetica" w:cs="Helvetica" w:eastAsia="Helvetica" w:hAnsi="Helvetica"/>
          <w:b/>
          <w:bCs/>
          <w:color w:val="2E5090"/>
          <w:sz w:val="22"/>
          <w:szCs w:val="22"/>
        </w:rPr>
        <w:t xml:space="preserve">Casiers connectés (pressing)</w:t>
      </w:r>
    </w:p>
    <w:p>
      <w:pPr>
        <w:spacing w:after="120"/>
      </w:pPr>
      <w:r>
        <w:rPr>
          <w:rFonts w:ascii="Helvetica" w:cs="Helvetica" w:eastAsia="Helvetica" w:hAnsi="Helvetica"/>
          <w:b w:val="false"/>
          <w:bCs w:val="false"/>
          <w:sz w:val="20"/>
          <w:szCs w:val="20"/>
        </w:rPr>
        <w:t xml:space="preserve">L'utilisateur dépose son linge dans un locker connecté. WASHiN prend en charge le pressing. Récupération sur place. Installation en moins d'une demi-journée.</w:t>
      </w:r>
    </w:p>
    <w:p>
      <w:pPr>
        <w:pStyle w:val="Heading2"/>
        <w:spacing w:before="200" w:after="100"/>
      </w:pPr>
      <w:r>
        <w:rPr>
          <w:rFonts w:ascii="Helvetica" w:cs="Helvetica" w:eastAsia="Helvetica" w:hAnsi="Helvetica"/>
          <w:b/>
          <w:bCs/>
          <w:color w:val="2E5090"/>
          <w:sz w:val="22"/>
          <w:szCs w:val="22"/>
        </w:rPr>
        <w:t xml:space="preserve">NoLa — Innovation IA (CES Las Vegas 2025)</w:t>
      </w:r>
    </w:p>
    <w:p>
      <w:pPr>
        <w:spacing w:after="120"/>
      </w:pPr>
      <w:r>
        <w:rPr>
          <w:rFonts w:ascii="Helvetica" w:cs="Helvetica" w:eastAsia="Helvetica" w:hAnsi="Helvetica"/>
          <w:b w:val="false"/>
          <w:bCs w:val="false"/>
          <w:sz w:val="20"/>
          <w:szCs w:val="20"/>
        </w:rPr>
        <w:t xml:space="preserve">Machine de nouvelle génération (2,9 m), équipée de bras robotiques et de 7 tambours. Aucune manipulation requise par l'utilisateur. L'IA analyse les textiles, sélectionne le programme optimal, recycle 95 % de l'eau. Cycle complet en ~35 min. Présérie : Q4 2025. Lancement commercial : 2027.</w:t>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7. Système de paiement</w:t>
      </w:r>
    </w:p>
    <w:p>
      <w:pPr>
        <w:pBdr>
          <w:bottom w:val="single" w:color="2E5090" w:sz="6" w:space="1"/>
        </w:pBdr>
        <w:spacing w:after="200"/>
      </w:pPr>
    </w:p>
    <w:p>
      <w:pPr>
        <w:pStyle w:val="Heading2"/>
        <w:spacing w:before="200" w:after="100"/>
      </w:pPr>
      <w:r>
        <w:rPr>
          <w:rFonts w:ascii="Helvetica" w:cs="Helvetica" w:eastAsia="Helvetica" w:hAnsi="Helvetica"/>
          <w:b/>
          <w:bCs/>
          <w:color w:val="2E5090"/>
          <w:sz w:val="22"/>
          <w:szCs w:val="22"/>
        </w:rPr>
        <w:t xml:space="preserve">Moyens de paiement acceptés (utilisateur final)</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500"/>
        <w:gridCol w:w="3800"/>
      </w:tblGrid>
      <w:tr>
        <w:tc>
          <w:tcPr>
            <w:tcW w:type="dxa" w:w="55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Moyen de paiement</w:t>
            </w:r>
          </w:p>
        </w:tc>
        <w:tc>
          <w:tcPr>
            <w:tcW w:type="dxa" w:w="3800"/>
            <w:tcBorders>
              <w:top w:val="single" w:color="CCCCCC" w:sz="1"/>
              <w:left w:val="single" w:color="CCCCCC" w:sz="1"/>
              <w:bottom w:val="single" w:color="CCCCCC" w:sz="1"/>
              <w:right w:val="single" w:color="CCCCCC" w:sz="1"/>
            </w:tcBorders>
            <w:shd w:fill="265EA2" w:val="clear"/>
            <w:tcMar>
              <w:top w:type="dxa" w:w="80"/>
              <w:left w:type="dxa" w:w="120"/>
              <w:bottom w:type="dxa" w:w="80"/>
              <w:right w:type="dxa" w:w="120"/>
            </w:tcMar>
          </w:tcPr>
          <w:p>
            <w:pPr>
              <w:jc w:val="left"/>
            </w:pPr>
            <w:r>
              <w:rPr>
                <w:rFonts w:ascii="Helvetica" w:cs="Helvetica" w:eastAsia="Helvetica" w:hAnsi="Helvetica"/>
                <w:b/>
                <w:bCs/>
                <w:color w:val="FFFFFF"/>
                <w:sz w:val="18"/>
                <w:szCs w:val="18"/>
              </w:rPr>
              <w:t xml:space="preserve">Statut</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Carte bancaire (CB / Visa / Mastercard)</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Apple Pay</w:t>
            </w:r>
          </w:p>
        </w:tc>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Google Pay</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Lydia</w:t>
            </w:r>
          </w:p>
        </w:tc>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WeChat Pay</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iDEAL (virement bancaire — expansion EU)</w:t>
            </w:r>
          </w:p>
        </w:tc>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Confirmé — ajouté recemment</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Jeton numerique personnalise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Borne sans contact NFC</w:t>
            </w:r>
          </w:p>
        </w:tc>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Montre / bracelet connecte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Helvetica" w:cs="Helvetica" w:eastAsia="Helvetica" w:hAnsi="Helvetica"/>
                <w:sz w:val="19"/>
                <w:szCs w:val="19"/>
              </w:rPr>
              <w:t xml:space="preserve">Confirmé</w:t>
            </w:r>
          </w:p>
        </w:tc>
      </w:tr>
      <w:tr>
        <w:tc>
          <w:tcPr>
            <w:tcW w:type="dxa" w:w="5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Especes</w:t>
            </w:r>
          </w:p>
        </w:tc>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Helvetica" w:cs="Helvetica" w:eastAsia="Helvetica" w:hAnsi="Helvetica"/>
                <w:sz w:val="19"/>
                <w:szCs w:val="19"/>
              </w:rPr>
              <w:t xml:space="preserve">Refuse — modele 100% dematerialise</w:t>
            </w:r>
          </w:p>
        </w:tc>
      </w:tr>
    </w:tbl>
    <w:p>
      <w:pPr>
        <w:spacing w:after="80"/>
      </w:pPr>
      <w:r>
        <w:t xml:space="preserve"/>
      </w:r>
    </w:p>
    <w:p>
      <w:pPr>
        <w:pStyle w:val="Heading2"/>
        <w:spacing w:before="200" w:after="100"/>
      </w:pPr>
      <w:r>
        <w:rPr>
          <w:rFonts w:ascii="Helvetica" w:cs="Helvetica" w:eastAsia="Helvetica" w:hAnsi="Helvetica"/>
          <w:b/>
          <w:bCs/>
          <w:color w:val="2E5090"/>
          <w:sz w:val="22"/>
          <w:szCs w:val="22"/>
        </w:rPr>
        <w:t xml:space="preserve">Prestataire de paiement technique (PSP)</w:t>
      </w:r>
    </w:p>
    <w:p>
      <w:pPr>
        <w:spacing w:after="120"/>
      </w:pPr>
      <w:r>
        <w:rPr>
          <w:rFonts w:ascii="Helvetica" w:cs="Helvetica" w:eastAsia="Helvetica" w:hAnsi="Helvetica"/>
          <w:b w:val="false"/>
          <w:bCs w:val="false"/>
          <w:sz w:val="20"/>
          <w:szCs w:val="20"/>
        </w:rPr>
        <w:t xml:space="preserve">Non identifiable publiquement. Aucune mention de Stripe, Adyen ou autre PSP dans les sources accessibles. La gestion technique des transactions et la conformite PCI-DSS dependent entierement d'Innovation Script UAB (Vilnius, Lituanie).</w:t>
      </w:r>
    </w:p>
    <w:p>
      <w:pPr>
        <w:spacing w:after="80"/>
      </w:pPr>
      <w:r>
        <w:t xml:space="preserve"/>
      </w:r>
    </w:p>
    <w:p>
      <w:pPr>
        <w:pStyle w:val="Heading2"/>
        <w:spacing w:before="200" w:after="100"/>
      </w:pPr>
      <w:r>
        <w:rPr>
          <w:rFonts w:ascii="Helvetica" w:cs="Helvetica" w:eastAsia="Helvetica" w:hAnsi="Helvetica"/>
          <w:b/>
          <w:bCs/>
          <w:color w:val="2E5090"/>
          <w:sz w:val="22"/>
          <w:szCs w:val="22"/>
        </w:rPr>
        <w:t xml:space="preserve">Architecture marque blanche — risque critique</w:t>
      </w:r>
    </w:p>
    <w:p>
      <w:pPr>
        <w:spacing w:after="120"/>
      </w:pPr>
      <w:r>
        <w:rPr>
          <w:rFonts w:ascii="Helvetica" w:cs="Helvetica" w:eastAsia="Helvetica" w:hAnsi="Helvetica"/>
          <w:b w:val="false"/>
          <w:bCs w:val="false"/>
          <w:sz w:val="20"/>
          <w:szCs w:val="20"/>
        </w:rPr>
        <w:t xml:space="preserve">Innovation Script UAB opere plus de 600 sites, 7 500 machines, et 15 applications distinctes sur leur plateforme PRO. WASHiN est une marque blanche de cette solution. WASHiN ne maitrise ni le code applicatif, ni le PSP sous-jacent, ni la gestion des donnees bancaires des utilisateurs. Toute la chaine de securite financiere repose sur un prestataire externe sans transparence publique.</w:t>
      </w:r>
    </w:p>
    <w:p>
      <w:pPr>
        <w:spacing w:after="80"/>
      </w:pPr>
      <w:r>
        <w:t xml:space="preserve"/>
      </w:r>
    </w:p>
    <w:p>
      <w:pPr>
        <w:pStyle w:val="Heading2"/>
        <w:spacing w:before="200" w:after="100"/>
      </w:pPr>
      <w:r>
        <w:rPr>
          <w:rFonts w:ascii="Helvetica" w:cs="Helvetica" w:eastAsia="Helvetica" w:hAnsi="Helvetica"/>
          <w:b/>
          <w:bCs/>
          <w:color w:val="2E5090"/>
          <w:sz w:val="22"/>
          <w:szCs w:val="22"/>
        </w:rPr>
        <w:t xml:space="preserve">Note sur la mention OZON</w:t>
      </w:r>
    </w:p>
    <w:p>
      <w:pPr>
        <w:spacing w:after="120"/>
      </w:pPr>
      <w:r>
        <w:rPr>
          <w:rFonts w:ascii="Helvetica" w:cs="Helvetica" w:eastAsia="Helvetica" w:hAnsi="Helvetica"/>
          <w:b w:val="false"/>
          <w:bCs w:val="false"/>
          <w:sz w:val="20"/>
          <w:szCs w:val="20"/>
        </w:rPr>
        <w:t xml:space="preserve">La mention OZON functionality enabled sur Google Play ne designe pas un systeme de paiement. Il s'agit d'un module materiel : des cabines de desinfection a l'ozone proposees par Innovation Script en complement des laveries.</w:t>
      </w:r>
    </w:p>
    <w:p>
      <w:pPr>
        <w:spacing w:after="80"/>
      </w:pPr>
      <w:r>
        <w:t xml:space="preserve"/>
      </w:r>
    </w:p>
    <w:p>
      <w:pPr>
        <w:pStyle w:val="Heading1"/>
        <w:spacing w:before="320" w:after="160"/>
      </w:pPr>
      <w:r>
        <w:rPr>
          <w:rFonts w:ascii="Helvetica" w:cs="Helvetica" w:eastAsia="Helvetica" w:hAnsi="Helvetica"/>
          <w:b/>
          <w:bCs/>
          <w:color w:val="265EA2"/>
          <w:sz w:val="26"/>
          <w:szCs w:val="26"/>
        </w:rPr>
        <w:t xml:space="preserve">8. Points de vigilance</w:t>
      </w:r>
    </w:p>
    <w:p>
      <w:pPr>
        <w:pBdr>
          <w:bottom w:val="single" w:color="2E5090" w:sz="6" w:space="1"/>
        </w:pBdr>
        <w:spacing w:after="200"/>
      </w:pPr>
    </w:p>
    <w:p>
      <w:pPr>
        <w:pStyle w:val="ListParagraph"/>
        <w:numPr>
          <w:ilvl w:val="0"/>
          <w:numId w:val="2"/>
        </w:numPr>
        <w:spacing w:after="80"/>
      </w:pPr>
      <w:r>
        <w:rPr>
          <w:rFonts w:ascii="Helvetica" w:cs="Helvetica" w:eastAsia="Helvetica" w:hAnsi="Helvetica"/>
          <w:sz w:val="20"/>
          <w:szCs w:val="20"/>
        </w:rPr>
        <w:t xml:space="preserve">Comptes annuels confidentiels : aucun CA publie officiellement via les registres — donnees issues uniquement de la presse.</w:t>
      </w:r>
    </w:p>
    <w:p>
      <w:pPr>
        <w:pStyle w:val="ListParagraph"/>
        <w:numPr>
          <w:ilvl w:val="0"/>
          <w:numId w:val="2"/>
        </w:numPr>
        <w:spacing w:after="80"/>
      </w:pPr>
      <w:r>
        <w:rPr>
          <w:rFonts w:ascii="Helvetica" w:cs="Helvetica" w:eastAsia="Helvetica" w:hAnsi="Helvetica"/>
          <w:sz w:val="20"/>
          <w:szCs w:val="20"/>
        </w:rPr>
        <w:t xml:space="preserve">Application et systeme de paiement externalises a Innovation Script UAB (Lituanie) — WASHiN ne maitrise pas sa stack technologique ni la securite des transactions.</w:t>
      </w:r>
    </w:p>
    <w:p>
      <w:pPr>
        <w:pStyle w:val="ListParagraph"/>
        <w:numPr>
          <w:ilvl w:val="0"/>
          <w:numId w:val="2"/>
        </w:numPr>
        <w:spacing w:after="80"/>
      </w:pPr>
      <w:r>
        <w:rPr>
          <w:rFonts w:ascii="Helvetica" w:cs="Helvetica" w:eastAsia="Helvetica" w:hAnsi="Helvetica"/>
          <w:sz w:val="20"/>
          <w:szCs w:val="20"/>
        </w:rPr>
        <w:t xml:space="preserve">Prestataire de paiement (PSP) non identifie publiquement — conformite PCI-DSS inverifiable.</w:t>
      </w:r>
    </w:p>
    <w:p>
      <w:pPr>
        <w:pStyle w:val="ListParagraph"/>
        <w:numPr>
          <w:ilvl w:val="0"/>
          <w:numId w:val="2"/>
        </w:numPr>
        <w:spacing w:after="80"/>
      </w:pPr>
      <w:r>
        <w:rPr>
          <w:rFonts w:ascii="Helvetica" w:cs="Helvetica" w:eastAsia="Helvetica" w:hAnsi="Helvetica"/>
          <w:sz w:val="20"/>
          <w:szCs w:val="20"/>
        </w:rPr>
        <w:t xml:space="preserve">Capital social faible (13 470 EUR) au regard des ambitions de deploiement europeen.</w:t>
      </w:r>
    </w:p>
    <w:p>
      <w:pPr>
        <w:pStyle w:val="ListParagraph"/>
        <w:numPr>
          <w:ilvl w:val="0"/>
          <w:numId w:val="2"/>
        </w:numPr>
        <w:spacing w:after="80"/>
      </w:pPr>
      <w:r>
        <w:rPr>
          <w:rFonts w:ascii="Helvetica" w:cs="Helvetica" w:eastAsia="Helvetica" w:hAnsi="Helvetica"/>
          <w:sz w:val="20"/>
          <w:szCs w:val="20"/>
        </w:rPr>
        <w:t xml:space="preserve">Presence sociale modeste : 520 abonnes Instagram malgre le positionnement de leader europeen revendique.</w:t>
      </w:r>
    </w:p>
    <w:p>
      <w:pPr>
        <w:pStyle w:val="ListParagraph"/>
        <w:numPr>
          <w:ilvl w:val="0"/>
          <w:numId w:val="2"/>
        </w:numPr>
        <w:spacing w:after="80"/>
      </w:pPr>
      <w:r>
        <w:rPr>
          <w:rFonts w:ascii="Helvetica" w:cs="Helvetica" w:eastAsia="Helvetica" w:hAnsi="Helvetica"/>
          <w:sz w:val="20"/>
          <w:szCs w:val="20"/>
        </w:rPr>
        <w:t xml:space="preserve">Capacite de production NoLa actuelle : 5 a 10 machines/an — industrialisation non finalisee, partenaire manufacturier non identifie.</w:t>
      </w:r>
    </w:p>
    <w:p>
      <w:pPr>
        <w:pStyle w:val="ListParagraph"/>
        <w:numPr>
          <w:ilvl w:val="0"/>
          <w:numId w:val="2"/>
        </w:numPr>
        <w:spacing w:after="80"/>
      </w:pPr>
      <w:r>
        <w:rPr>
          <w:rFonts w:ascii="Helvetica" w:cs="Helvetica" w:eastAsia="Helvetica" w:hAnsi="Helvetica"/>
          <w:sz w:val="20"/>
          <w:szCs w:val="20"/>
        </w:rPr>
        <w:t xml:space="preserve">Modele de retrocession opaque : aucun tarif ou pourcentage publie, contact commercial obligatoire.</w:t>
      </w:r>
    </w:p>
    <w:p>
      <w:pPr>
        <w:spacing w:after="80"/>
      </w:pPr>
      <w:r>
        <w:t xml:space="preserve"/>
      </w:r>
    </w:p>
    <w:p>
      <w:pPr>
        <w:spacing w:after="80"/>
      </w:pPr>
      <w:r>
        <w:t xml:space="preserve"/>
      </w:r>
    </w:p>
    <w:p>
      <w:pPr>
        <w:pBdr>
          <w:bottom w:val="single" w:color="2E5090" w:sz="6" w:space="1"/>
        </w:pBdr>
        <w:spacing w:after="200"/>
      </w:pPr>
    </w:p>
    <w:p>
      <w:pPr>
        <w:jc w:val="center"/>
      </w:pPr>
      <w:r>
        <w:rPr>
          <w:rFonts w:ascii="Helvetica" w:cs="Helvetica" w:eastAsia="Helvetica" w:hAnsi="Helvetica"/>
          <w:i/>
          <w:iCs/>
          <w:color w:val="888888"/>
          <w:sz w:val="17"/>
          <w:szCs w:val="17"/>
        </w:rPr>
        <w:t xml:space="preserve">— Document confidentiel à usage strictement interne —</w:t>
      </w:r>
    </w:p>
    <w:sectPr>
      <w:footerReference w:type="default" r:id="rId7"/>
      <w:pgSz w:w="11906" w:h="16838" w:orient="portrait"/>
      <w:pgMar w:top="1200" w:right="1200" w:bottom="1200" w:left="1200" w:header="708" w:footer="708" w:gutter="0"/>
      <w:pgNumType/>
      <w:docGrid w:linePitch="360"/>
      <w:headerReference w:type="default" r:id="rId9"/>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1"/>
      </w:pBdr>
      <w:tabs>
        <w:tab w:val="right" w:pos="9026"/>
      </w:tabs>
    </w:pPr>
    <w:r>
      <w:rPr>
        <w:rFonts w:ascii="Helvetica" w:cs="Helvetica" w:eastAsia="Helvetica" w:hAnsi="Helvetica"/>
        <w:color w:val="888888"/>
        <w:sz w:val="16"/>
        <w:szCs w:val="16"/>
      </w:rPr>
      <w:t xml:space="preserve">Document confidentiel — Généré le 24 mars 2026</w:t>
    </w:r>
    <w:r>
      <w:rPr>
        <w:rFonts w:ascii="Helvetica" w:cs="Helvetica" w:eastAsia="Helvetica" w:hAnsi="Helvetica"/>
        <w:color w:val="888888"/>
        <w:sz w:val="16"/>
        <w:szCs w:val="16"/>
      </w:rPr>
      <w:t xml:space="preserve">	Page </w:t>
    </w:r>
    <w:r>
      <w:rPr>
        <w:rFonts w:ascii="Helvetica" w:cs="Helvetica" w:eastAsia="Helvetica" w:hAnsi="Helvetica"/>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65EA2"/>
      <w:sz w:val="32"/>
      <w:szCs w:val="32"/>
    </w:rPr>
  </w:style>
  <w:style w:type="paragraph" w:styleId="Heading2">
    <w:name w:val="Heading 2"/>
    <w:basedOn w:val="Normal"/>
    <w:next w:val="Normal"/>
    <w:qFormat/>
    <w:rPr>
      <w:color w:val="265EA2"/>
      <w:sz w:val="26"/>
      <w:szCs w:val="26"/>
    </w:rPr>
  </w:style>
  <w:style w:type="paragraph" w:styleId="Heading3">
    <w:name w:val="Heading 3"/>
    <w:basedOn w:val="Normal"/>
    <w:next w:val="Normal"/>
    <w:qFormat/>
    <w:rPr>
      <w:color w:val="265EA2"/>
      <w:sz w:val="24"/>
      <w:szCs w:val="24"/>
    </w:rPr>
  </w:style>
  <w:style w:type="paragraph" w:styleId="Heading4">
    <w:name w:val="Heading 4"/>
    <w:basedOn w:val="Normal"/>
    <w:next w:val="Normal"/>
    <w:qFormat/>
    <w:rPr>
      <w:i/>
      <w:iCs/>
      <w:color w:val="265EA2"/>
    </w:rPr>
  </w:style>
  <w:style w:type="paragraph" w:styleId="Heading5">
    <w:name w:val="Heading 5"/>
    <w:basedOn w:val="Normal"/>
    <w:next w:val="Normal"/>
    <w:qFormat/>
    <w:rPr>
      <w:color w:val="265EA2"/>
    </w:rPr>
  </w:style>
  <w:style w:type="paragraph" w:styleId="Heading6">
    <w:name w:val="Heading 6"/>
    <w:basedOn w:val="Normal"/>
    <w:next w:val="Normal"/>
    <w:qFormat/>
    <w:rPr>
      <w:color w:val="265EA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265EA2"/>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Helvetica" w:cs="Helvetica" w:eastAsia="Helvetica" w:hAnsi="Helvetica"/>
      <w:b/>
      <w:bCs/>
      <w:color w:val="265EA2"/>
      <w:sz w:val="26"/>
      <w:szCs w:val="26"/>
    </w:rPr>
  </w:style>
  <w:style w:type="paragraph" w:styleId="Heading2">
    <w:name w:val="Heading 2"/>
    <w:basedOn w:val="Normal"/>
    <w:next w:val="Normal"/>
    <w:qFormat/>
    <w:pPr>
      <w:spacing w:before="200" w:after="100"/>
      <w:outlineLvl w:val="1"/>
    </w:pPr>
    <w:rPr>
      <w:rFonts w:ascii="Helvetica" w:cs="Helvetica" w:eastAsia="Helvetica" w:hAnsi="Helvetica"/>
      <w:b/>
      <w:bCs/>
      <w:color w:val="2E5090"/>
      <w:sz w:val="22"/>
      <w:szCs w:val="22"/>
    </w:rPr>
  </w:style>
</w:styles>
</file>

<file path=word/_rels/comments.xml.rels><?xml version="1.0" encoding="UTF-8"?><Relationships xmlns="http://schemas.openxmlformats.org/package/2006/relationship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comments" Target="comment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header" Target="header1.xml"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2026-03-24T12:09:46.325Z</dcterms:created>
  <dcterms:modified xsi:type="dcterms:W3CDTF">2026-03-24T12:09:46.325Z</dcterms:modified>
</cp:coreProperties>
</file>

<file path=docProps/custom.xml><?xml version="1.0" encoding="utf-8"?>
<Properties xmlns="http://schemas.openxmlformats.org/officeDocument/2006/custom-properties" xmlns:vt="http://schemas.openxmlformats.org/officeDocument/2006/docPropsVTypes"/>
</file>